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9854" w:type="dxa"/>
        <w:jc w:val="center"/>
        <w:tblInd w:w="0" w:type="dxa"/>
        <w:tblBorders>
          <w:top w:val="none" w:color="auto" w:sz="0" w:space="0"/>
          <w:left w:val="none" w:color="auto" w:sz="0" w:space="0"/>
          <w:bottom w:val="single" w:color="000000" w:themeColor="text1" w:sz="8" w:space="0"/>
          <w:right w:val="none" w:color="auto" w:sz="0" w:space="0"/>
          <w:insideH w:val="none" w:color="auto" w:sz="0" w:space="0"/>
          <w:insideV w:val="none" w:color="auto" w:sz="0" w:space="0"/>
        </w:tblBorders>
        <w:shd w:val="clear" w:color="auto" w:fill="91A7C3" w:themeFill="accent6" w:themeFillTint="99"/>
        <w:tblLayout w:type="fixed"/>
        <w:tblCellMar>
          <w:top w:w="0" w:type="dxa"/>
          <w:left w:w="108" w:type="dxa"/>
          <w:bottom w:w="0" w:type="dxa"/>
          <w:right w:w="108" w:type="dxa"/>
        </w:tblCellMar>
      </w:tblPr>
      <w:tblGrid>
        <w:gridCol w:w="6127"/>
        <w:gridCol w:w="1763"/>
        <w:gridCol w:w="1964"/>
      </w:tblGrid>
      <w:tr>
        <w:tblPrEx>
          <w:tblBorders>
            <w:top w:val="none" w:color="auto" w:sz="0" w:space="0"/>
            <w:left w:val="none" w:color="auto" w:sz="0" w:space="0"/>
            <w:bottom w:val="single" w:color="000000" w:themeColor="text1" w:sz="8" w:space="0"/>
            <w:right w:val="none" w:color="auto" w:sz="0" w:space="0"/>
            <w:insideH w:val="none" w:color="auto" w:sz="0" w:space="0"/>
            <w:insideV w:val="none" w:color="auto" w:sz="0" w:space="0"/>
          </w:tblBorders>
          <w:shd w:val="clear" w:color="auto" w:fill="91A7C3" w:themeFill="accent6" w:themeFillTint="99"/>
          <w:tblLayout w:type="fixed"/>
          <w:tblCellMar>
            <w:top w:w="0" w:type="dxa"/>
            <w:left w:w="108" w:type="dxa"/>
            <w:bottom w:w="0" w:type="dxa"/>
            <w:right w:w="108" w:type="dxa"/>
          </w:tblCellMar>
        </w:tblPrEx>
        <w:trPr>
          <w:trHeight w:val="567" w:hRule="exact"/>
          <w:jc w:val="center"/>
        </w:trPr>
        <w:tc>
          <w:tcPr>
            <w:tcW w:w="6127" w:type="dxa"/>
            <w:tcBorders>
              <w:bottom w:val="nil"/>
              <w:right w:val="single" w:color="1F4165" w:sz="12" w:space="0"/>
            </w:tcBorders>
            <w:shd w:val="clear" w:color="auto" w:fill="E82000"/>
          </w:tcPr>
          <w:p>
            <w:pPr>
              <w:pageBreakBefore w:val="0"/>
              <w:kinsoku/>
              <w:wordWrap/>
              <w:overflowPunct/>
              <w:topLinePunct w:val="0"/>
              <w:autoSpaceDE/>
              <w:autoSpaceDN/>
              <w:bidi w:val="0"/>
              <w:adjustRightInd/>
              <w:snapToGrid/>
              <w:spacing w:line="276" w:lineRule="auto"/>
              <w:ind w:firstLine="1"/>
              <w:jc w:val="left"/>
              <w:textAlignment w:val="auto"/>
              <w:rPr>
                <w:rFonts w:hint="eastAsia" w:ascii="微软雅黑" w:hAnsi="微软雅黑" w:eastAsia="微软雅黑" w:cs="微软雅黑"/>
                <w:b/>
                <w:sz w:val="28"/>
                <w:szCs w:val="24"/>
              </w:rPr>
            </w:pPr>
            <w:sdt>
              <w:sdtPr>
                <w:rPr>
                  <w:rFonts w:hint="default" w:ascii="微软雅黑" w:hAnsi="微软雅黑" w:eastAsia="微软雅黑" w:cs="微软雅黑"/>
                  <w:b/>
                  <w:color w:val="FFFFFF" w:themeColor="background1"/>
                  <w:sz w:val="28"/>
                  <w:szCs w:val="24"/>
                  <w:lang w:val="en-US"/>
                  <w14:textFill>
                    <w14:solidFill>
                      <w14:schemeClr w14:val="bg1"/>
                    </w14:solidFill>
                  </w14:textFill>
                </w:rPr>
                <w:alias w:val="标题"/>
                <w:id w:val="934327346"/>
                <w:placeholder>
                  <w:docPart w:val="A263D1E7E3F6406F9518DA54926FB656"/>
                </w:placeholder>
                <w:text/>
              </w:sdtPr>
              <w:sdtEndPr>
                <w:rPr>
                  <w:rFonts w:hint="eastAsia" w:ascii="微软雅黑" w:hAnsi="微软雅黑" w:eastAsia="微软雅黑" w:cs="微软雅黑"/>
                  <w:b/>
                  <w:color w:val="FFFFFF" w:themeColor="background1"/>
                  <w:sz w:val="28"/>
                  <w:szCs w:val="24"/>
                  <w:lang w:val="en-US"/>
                  <w14:textFill>
                    <w14:solidFill>
                      <w14:schemeClr w14:val="bg1"/>
                    </w14:solidFill>
                  </w14:textFill>
                </w:rPr>
              </w:sdtEndPr>
              <w:sdtContent>
                <w:r>
                  <w:rPr>
                    <w:rFonts w:hint="eastAsia" w:ascii="微软雅黑" w:hAnsi="微软雅黑" w:eastAsia="微软雅黑" w:cs="微软雅黑"/>
                    <w:b/>
                    <w:color w:val="FFFFFF" w:themeColor="background1"/>
                    <w:sz w:val="28"/>
                    <w:szCs w:val="24"/>
                    <w:lang w:val="en-US" w:eastAsia="zh-CN"/>
                    <w14:textFill>
                      <w14:solidFill>
                        <w14:schemeClr w14:val="bg1"/>
                      </w14:solidFill>
                    </w14:textFill>
                  </w:rPr>
                  <w:t>品种报告</w:t>
                </w:r>
              </w:sdtContent>
            </w:sdt>
          </w:p>
        </w:tc>
        <w:sdt>
          <w:sdtPr>
            <w:rPr>
              <w:rFonts w:hint="eastAsia" w:ascii="微软雅黑" w:hAnsi="微软雅黑" w:eastAsia="微软雅黑" w:cs="微软雅黑"/>
              <w:b/>
              <w:color w:val="000000" w:themeColor="text1"/>
              <w:sz w:val="28"/>
              <w14:textFill>
                <w14:solidFill>
                  <w14:schemeClr w14:val="tx1"/>
                </w14:solidFill>
              </w14:textFill>
            </w:rPr>
            <w:id w:val="1064681184"/>
            <w:placeholder>
              <w:docPart w:val="DefaultPlaceholder_1082065160"/>
            </w:placeholder>
            <w:date w:fullDate="2023-11-30T00:00:00Z">
              <w:dateFormat w:val="yyyy年M月d日 星期W"/>
              <w:lid w:val="zh-CN"/>
              <w:storeMappedDataAs w:val="datetime"/>
              <w:calendar w:val="gregorian"/>
            </w:date>
          </w:sdtPr>
          <w:sdtEndPr>
            <w:rPr>
              <w:rFonts w:hint="eastAsia" w:ascii="微软雅黑" w:hAnsi="微软雅黑" w:eastAsia="微软雅黑" w:cs="微软雅黑"/>
              <w:b/>
              <w:color w:val="FFFFFF" w:themeColor="background1"/>
              <w:sz w:val="24"/>
              <w:szCs w:val="21"/>
              <w:shd w:val="clear" w:fill="0E3B7F"/>
              <w14:textFill>
                <w14:solidFill>
                  <w14:schemeClr w14:val="bg1"/>
                </w14:solidFill>
              </w14:textFill>
            </w:rPr>
          </w:sdtEndPr>
          <w:sdtContent>
            <w:tc>
              <w:tcPr>
                <w:tcW w:w="3727" w:type="dxa"/>
                <w:gridSpan w:val="2"/>
                <w:tcBorders>
                  <w:left w:val="single" w:color="1F4165" w:sz="12" w:space="0"/>
                  <w:bottom w:val="nil"/>
                </w:tcBorders>
                <w:shd w:val="clear" w:color="auto" w:fill="0E3B7F"/>
              </w:tcPr>
              <w:p>
                <w:pPr>
                  <w:pageBreakBefore w:val="0"/>
                  <w:kinsoku/>
                  <w:wordWrap/>
                  <w:overflowPunct/>
                  <w:topLinePunct w:val="0"/>
                  <w:autoSpaceDE/>
                  <w:autoSpaceDN/>
                  <w:bidi w:val="0"/>
                  <w:adjustRightInd/>
                  <w:snapToGrid/>
                  <w:spacing w:line="276" w:lineRule="auto"/>
                  <w:jc w:val="center"/>
                  <w:textAlignment w:val="auto"/>
                  <w:rPr>
                    <w:rFonts w:hint="eastAsia" w:ascii="微软雅黑" w:hAnsi="微软雅黑" w:eastAsia="微软雅黑" w:cs="微软雅黑"/>
                    <w:b/>
                    <w:color w:val="000000" w:themeColor="text1"/>
                    <w:sz w:val="28"/>
                    <w14:textFill>
                      <w14:solidFill>
                        <w14:schemeClr w14:val="tx1"/>
                      </w14:solidFill>
                    </w14:textFill>
                  </w:rPr>
                </w:pPr>
                <w:r>
                  <w:rPr>
                    <w:rFonts w:hint="eastAsia" w:ascii="微软雅黑" w:hAnsi="微软雅黑" w:eastAsia="微软雅黑" w:cs="微软雅黑"/>
                    <w:b/>
                    <w:color w:val="000000" w:themeColor="text1"/>
                    <w:kern w:val="2"/>
                    <w:sz w:val="28"/>
                    <w:szCs w:val="22"/>
                    <w:lang w:val="en-US" w:eastAsia="zh-CN" w:bidi="ar-SA"/>
                    <w14:textFill>
                      <w14:solidFill>
                        <w14:schemeClr w14:val="tx1"/>
                      </w14:solidFill>
                    </w14:textFill>
                  </w:rPr>
                  <w:t>2023年11月30日 星期四</w:t>
                </w:r>
              </w:p>
            </w:tc>
          </w:sdtContent>
        </w:sdt>
      </w:tr>
      <w:tr>
        <w:tblPrEx>
          <w:tblBorders>
            <w:top w:val="none" w:color="auto" w:sz="0"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8" w:hRule="exact"/>
          <w:jc w:val="center"/>
        </w:trPr>
        <w:tc>
          <w:tcPr>
            <w:tcW w:w="6127" w:type="dxa"/>
            <w:vMerge w:val="restart"/>
            <w:tcBorders>
              <w:top w:val="nil"/>
              <w:right w:val="single" w:color="1F4165" w:sz="12" w:space="0"/>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default" w:ascii="微软雅黑" w:hAnsi="微软雅黑" w:eastAsia="微软雅黑" w:cs="微软雅黑"/>
                <w:b/>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color w:val="002060"/>
                <w:sz w:val="36"/>
                <w:szCs w:val="36"/>
                <w:lang w:val="en-US" w:eastAsia="zh-CN"/>
              </w:rPr>
              <w:t>钢矿年报：需求小幅增长，价格震荡偏强</w:t>
            </w:r>
          </w:p>
        </w:tc>
        <w:tc>
          <w:tcPr>
            <w:tcW w:w="1763" w:type="dxa"/>
            <w:tcBorders>
              <w:top w:val="nil"/>
              <w:left w:val="single" w:color="1F4165" w:sz="12" w:space="0"/>
              <w:bottom w:val="nil"/>
              <w:right w:val="nil"/>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eastAsia" w:ascii="微软雅黑" w:hAnsi="微软雅黑" w:eastAsia="微软雅黑" w:cs="微软雅黑"/>
                <w:b/>
                <w:bCs w:val="0"/>
                <w:color w:val="0E3B7F"/>
                <w:sz w:val="22"/>
                <w:szCs w:val="21"/>
                <w:lang w:eastAsia="zh-CN"/>
              </w:rPr>
            </w:pPr>
            <w:r>
              <w:rPr>
                <w:rFonts w:hint="eastAsia" w:ascii="微软雅黑" w:hAnsi="微软雅黑" w:eastAsia="微软雅黑" w:cs="微软雅黑"/>
                <w:b/>
                <w:bCs w:val="0"/>
                <w:color w:val="0E3B7F"/>
                <w:sz w:val="22"/>
                <w:szCs w:val="21"/>
                <w:lang w:val="en-US" w:eastAsia="zh-CN"/>
              </w:rPr>
              <w:t>执笔：</w:t>
            </w:r>
          </w:p>
        </w:tc>
        <w:tc>
          <w:tcPr>
            <w:tcW w:w="1964" w:type="dxa"/>
            <w:tcBorders>
              <w:top w:val="nil"/>
              <w:left w:val="nil"/>
              <w:bottom w:val="nil"/>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eastAsia" w:ascii="微软雅黑" w:hAnsi="微软雅黑" w:eastAsia="微软雅黑" w:cs="微软雅黑"/>
                <w:b/>
                <w:bCs w:val="0"/>
                <w:color w:val="0E3B7F"/>
                <w:sz w:val="22"/>
                <w:szCs w:val="21"/>
                <w:lang w:eastAsia="zh-CN"/>
              </w:rPr>
            </w:pPr>
            <w:r>
              <w:rPr>
                <w:rFonts w:hint="eastAsia" w:ascii="微软雅黑" w:hAnsi="微软雅黑" w:eastAsia="微软雅黑" w:cs="微软雅黑"/>
                <w:b/>
                <w:bCs w:val="0"/>
                <w:color w:val="0E3B7F"/>
                <w:sz w:val="22"/>
                <w:szCs w:val="21"/>
                <w:lang w:val="en-US" w:eastAsia="zh-CN"/>
              </w:rPr>
              <w:t>张煜</w:t>
            </w:r>
          </w:p>
        </w:tc>
      </w:tr>
      <w:tr>
        <w:tblPrEx>
          <w:tblBorders>
            <w:top w:val="none" w:color="auto" w:sz="0" w:space="0"/>
            <w:left w:val="none" w:color="auto" w:sz="0" w:space="0"/>
            <w:bottom w:val="single" w:color="000000" w:themeColor="text1" w:sz="8" w:space="0"/>
            <w:right w:val="none" w:color="auto" w:sz="0" w:space="0"/>
            <w:insideH w:val="none" w:color="auto" w:sz="0" w:space="0"/>
            <w:insideV w:val="none" w:color="auto" w:sz="0" w:space="0"/>
          </w:tblBorders>
          <w:shd w:val="clear" w:color="auto" w:fill="91A7C3" w:themeFill="accent6" w:themeFillTint="99"/>
          <w:tblLayout w:type="fixed"/>
          <w:tblCellMar>
            <w:top w:w="0" w:type="dxa"/>
            <w:left w:w="108" w:type="dxa"/>
            <w:bottom w:w="0" w:type="dxa"/>
            <w:right w:w="108" w:type="dxa"/>
          </w:tblCellMar>
        </w:tblPrEx>
        <w:trPr>
          <w:trHeight w:val="461" w:hRule="exact"/>
          <w:jc w:val="center"/>
        </w:trPr>
        <w:tc>
          <w:tcPr>
            <w:tcW w:w="6127" w:type="dxa"/>
            <w:vMerge w:val="continue"/>
            <w:tcBorders>
              <w:right w:val="single" w:color="1F4165" w:sz="12" w:space="0"/>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eastAsia" w:ascii="微软雅黑" w:hAnsi="微软雅黑" w:eastAsia="微软雅黑" w:cs="微软雅黑"/>
                <w:b/>
                <w:color w:val="000000" w:themeColor="text1"/>
                <w:sz w:val="32"/>
                <w:szCs w:val="32"/>
                <w14:textFill>
                  <w14:solidFill>
                    <w14:schemeClr w14:val="tx1"/>
                  </w14:solidFill>
                </w14:textFill>
              </w:rPr>
            </w:pPr>
          </w:p>
        </w:tc>
        <w:tc>
          <w:tcPr>
            <w:tcW w:w="1763" w:type="dxa"/>
            <w:tcBorders>
              <w:top w:val="nil"/>
              <w:left w:val="single" w:color="1F4165" w:sz="12" w:space="0"/>
              <w:bottom w:val="nil"/>
              <w:right w:val="nil"/>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eastAsia" w:ascii="微软雅黑" w:hAnsi="微软雅黑" w:eastAsia="微软雅黑" w:cs="微软雅黑"/>
                <w:b/>
                <w:bCs w:val="0"/>
                <w:color w:val="0E3B7F"/>
                <w:sz w:val="22"/>
                <w:szCs w:val="21"/>
                <w:lang w:val="en-US" w:eastAsia="zh-CN"/>
              </w:rPr>
            </w:pPr>
            <w:r>
              <w:rPr>
                <w:rFonts w:hint="eastAsia" w:ascii="微软雅黑" w:hAnsi="微软雅黑" w:eastAsia="微软雅黑" w:cs="微软雅黑"/>
                <w:b/>
                <w:bCs w:val="0"/>
                <w:color w:val="0E3B7F"/>
                <w:sz w:val="22"/>
                <w:szCs w:val="21"/>
                <w:lang w:val="en-US" w:eastAsia="zh-CN"/>
              </w:rPr>
              <w:t>电话：</w:t>
            </w:r>
          </w:p>
        </w:tc>
        <w:tc>
          <w:tcPr>
            <w:tcW w:w="1964" w:type="dxa"/>
            <w:tcBorders>
              <w:top w:val="nil"/>
              <w:left w:val="nil"/>
              <w:bottom w:val="nil"/>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eastAsia" w:ascii="微软雅黑" w:hAnsi="微软雅黑" w:eastAsia="微软雅黑" w:cs="微软雅黑"/>
                <w:b/>
                <w:bCs w:val="0"/>
                <w:color w:val="0E3B7F"/>
                <w:sz w:val="22"/>
                <w:szCs w:val="21"/>
              </w:rPr>
            </w:pPr>
            <w:r>
              <w:rPr>
                <w:rFonts w:hint="eastAsia" w:ascii="微软雅黑" w:hAnsi="微软雅黑" w:eastAsia="微软雅黑" w:cs="微软雅黑"/>
                <w:b/>
                <w:bCs w:val="0"/>
                <w:color w:val="0E3B7F"/>
                <w:sz w:val="22"/>
                <w:szCs w:val="21"/>
              </w:rPr>
              <w:t>0</w:t>
            </w:r>
            <w:r>
              <w:rPr>
                <w:rFonts w:hint="eastAsia" w:ascii="微软雅黑" w:hAnsi="微软雅黑" w:eastAsia="微软雅黑" w:cs="微软雅黑"/>
                <w:b/>
                <w:bCs w:val="0"/>
                <w:color w:val="1F4165"/>
                <w:sz w:val="22"/>
                <w:szCs w:val="21"/>
              </w:rPr>
              <w:t>591-87</w:t>
            </w:r>
            <w:r>
              <w:rPr>
                <w:rFonts w:hint="eastAsia" w:ascii="微软雅黑" w:hAnsi="微软雅黑" w:eastAsia="微软雅黑" w:cs="微软雅黑"/>
                <w:b/>
                <w:bCs w:val="0"/>
                <w:color w:val="0E3B7F"/>
                <w:sz w:val="22"/>
                <w:szCs w:val="21"/>
              </w:rPr>
              <w:t>892521</w:t>
            </w:r>
          </w:p>
        </w:tc>
      </w:tr>
      <w:tr>
        <w:tblPrEx>
          <w:tblBorders>
            <w:top w:val="none" w:color="auto" w:sz="0" w:space="0"/>
            <w:left w:val="none" w:color="auto" w:sz="0" w:space="0"/>
            <w:bottom w:val="single" w:color="000000" w:themeColor="text1" w:sz="8" w:space="0"/>
            <w:right w:val="none" w:color="auto" w:sz="0" w:space="0"/>
            <w:insideH w:val="none" w:color="auto" w:sz="0" w:space="0"/>
            <w:insideV w:val="none" w:color="auto" w:sz="0" w:space="0"/>
          </w:tblBorders>
          <w:shd w:val="clear" w:color="auto" w:fill="91A7C3" w:themeFill="accent6" w:themeFillTint="99"/>
          <w:tblLayout w:type="fixed"/>
          <w:tblCellMar>
            <w:top w:w="0" w:type="dxa"/>
            <w:left w:w="108" w:type="dxa"/>
            <w:bottom w:w="0" w:type="dxa"/>
            <w:right w:w="108" w:type="dxa"/>
          </w:tblCellMar>
        </w:tblPrEx>
        <w:trPr>
          <w:trHeight w:val="475" w:hRule="exact"/>
          <w:jc w:val="center"/>
        </w:trPr>
        <w:tc>
          <w:tcPr>
            <w:tcW w:w="6127" w:type="dxa"/>
            <w:vMerge w:val="continue"/>
            <w:tcBorders>
              <w:right w:val="single" w:color="1F4165" w:sz="12" w:space="0"/>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eastAsia" w:ascii="微软雅黑" w:hAnsi="微软雅黑" w:eastAsia="微软雅黑" w:cs="微软雅黑"/>
                <w:b/>
                <w:color w:val="000000" w:themeColor="text1"/>
                <w:sz w:val="32"/>
                <w:szCs w:val="32"/>
                <w14:textFill>
                  <w14:solidFill>
                    <w14:schemeClr w14:val="tx1"/>
                  </w14:solidFill>
                </w14:textFill>
              </w:rPr>
            </w:pPr>
          </w:p>
        </w:tc>
        <w:tc>
          <w:tcPr>
            <w:tcW w:w="1763" w:type="dxa"/>
            <w:tcBorders>
              <w:top w:val="nil"/>
              <w:left w:val="single" w:color="1F4165" w:sz="12" w:space="0"/>
              <w:bottom w:val="nil"/>
              <w:right w:val="nil"/>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default" w:ascii="微软雅黑" w:hAnsi="微软雅黑" w:eastAsia="微软雅黑" w:cs="微软雅黑"/>
                <w:b/>
                <w:bCs w:val="0"/>
                <w:color w:val="0E3B7F"/>
                <w:sz w:val="22"/>
                <w:szCs w:val="21"/>
                <w:lang w:val="en-US" w:eastAsia="zh-CN"/>
              </w:rPr>
            </w:pPr>
            <w:r>
              <w:rPr>
                <w:rFonts w:hint="eastAsia" w:ascii="微软雅黑" w:hAnsi="微软雅黑" w:eastAsia="微软雅黑" w:cs="微软雅黑"/>
                <w:b/>
                <w:bCs w:val="0"/>
                <w:color w:val="0E3B7F"/>
                <w:sz w:val="22"/>
                <w:szCs w:val="21"/>
                <w:lang w:val="en-US" w:eastAsia="zh-CN"/>
              </w:rPr>
              <w:t>从业资格证号：号：</w:t>
            </w:r>
          </w:p>
        </w:tc>
        <w:tc>
          <w:tcPr>
            <w:tcW w:w="1964" w:type="dxa"/>
            <w:tcBorders>
              <w:top w:val="nil"/>
              <w:left w:val="nil"/>
              <w:bottom w:val="nil"/>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eastAsia" w:ascii="微软雅黑" w:hAnsi="微软雅黑" w:eastAsia="微软雅黑" w:cs="微软雅黑"/>
                <w:b/>
                <w:bCs w:val="0"/>
                <w:color w:val="0E3B7F"/>
                <w:sz w:val="22"/>
                <w:szCs w:val="21"/>
                <w:lang w:val="en-US" w:eastAsia="zh-CN"/>
              </w:rPr>
            </w:pPr>
            <w:r>
              <w:rPr>
                <w:rFonts w:hint="eastAsia" w:ascii="微软雅黑" w:hAnsi="微软雅黑" w:eastAsia="微软雅黑" w:cs="微软雅黑"/>
                <w:b/>
                <w:bCs w:val="0"/>
                <w:color w:val="0E3B7F"/>
                <w:sz w:val="22"/>
                <w:szCs w:val="21"/>
              </w:rPr>
              <w:t>F3076317</w:t>
            </w:r>
          </w:p>
        </w:tc>
      </w:tr>
      <w:tr>
        <w:tblPrEx>
          <w:tblBorders>
            <w:top w:val="none" w:color="auto" w:sz="0"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5" w:hRule="exact"/>
          <w:jc w:val="center"/>
        </w:trPr>
        <w:tc>
          <w:tcPr>
            <w:tcW w:w="6127" w:type="dxa"/>
            <w:vMerge w:val="continue"/>
            <w:tcBorders>
              <w:bottom w:val="single" w:color="1F4165" w:sz="12" w:space="0"/>
              <w:right w:val="single" w:color="1F4165" w:sz="12" w:space="0"/>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eastAsia" w:ascii="微软雅黑" w:hAnsi="微软雅黑" w:eastAsia="微软雅黑" w:cs="微软雅黑"/>
                <w:b/>
                <w:color w:val="000000" w:themeColor="text1"/>
                <w:sz w:val="32"/>
                <w:szCs w:val="32"/>
                <w14:textFill>
                  <w14:solidFill>
                    <w14:schemeClr w14:val="tx1"/>
                  </w14:solidFill>
                </w14:textFill>
              </w:rPr>
            </w:pPr>
          </w:p>
        </w:tc>
        <w:tc>
          <w:tcPr>
            <w:tcW w:w="1763" w:type="dxa"/>
            <w:tcBorders>
              <w:top w:val="nil"/>
              <w:left w:val="single" w:color="1F4165" w:sz="12" w:space="0"/>
              <w:bottom w:val="single" w:color="1F4165" w:sz="12" w:space="0"/>
              <w:right w:val="nil"/>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default" w:ascii="微软雅黑" w:hAnsi="微软雅黑" w:eastAsia="微软雅黑" w:cs="微软雅黑"/>
                <w:b/>
                <w:bCs w:val="0"/>
                <w:color w:val="0E3B7F"/>
                <w:sz w:val="22"/>
                <w:szCs w:val="21"/>
                <w:lang w:val="en-US" w:eastAsia="zh-CN"/>
              </w:rPr>
            </w:pPr>
            <w:r>
              <w:rPr>
                <w:rFonts w:hint="eastAsia" w:ascii="微软雅黑" w:hAnsi="微软雅黑" w:eastAsia="微软雅黑" w:cs="微软雅黑"/>
                <w:b/>
                <w:bCs w:val="0"/>
                <w:color w:val="0E3B7F"/>
                <w:sz w:val="22"/>
                <w:szCs w:val="21"/>
                <w:lang w:val="en-US" w:eastAsia="zh-CN"/>
              </w:rPr>
              <w:t>投资咨询证号：</w:t>
            </w:r>
          </w:p>
        </w:tc>
        <w:tc>
          <w:tcPr>
            <w:tcW w:w="1964" w:type="dxa"/>
            <w:tcBorders>
              <w:top w:val="nil"/>
              <w:left w:val="nil"/>
              <w:bottom w:val="single" w:color="1F4165" w:sz="12" w:space="0"/>
            </w:tcBorders>
            <w:shd w:val="clear" w:color="auto" w:fill="auto"/>
            <w:vAlign w:val="center"/>
          </w:tcPr>
          <w:p>
            <w:pPr>
              <w:pageBreakBefore w:val="0"/>
              <w:kinsoku/>
              <w:wordWrap/>
              <w:overflowPunct/>
              <w:topLinePunct w:val="0"/>
              <w:autoSpaceDE/>
              <w:autoSpaceDN/>
              <w:bidi w:val="0"/>
              <w:adjustRightInd/>
              <w:snapToGrid/>
              <w:spacing w:line="276" w:lineRule="auto"/>
              <w:jc w:val="center"/>
              <w:textAlignment w:val="auto"/>
              <w:rPr>
                <w:rFonts w:hint="default" w:ascii="微软雅黑" w:hAnsi="微软雅黑" w:eastAsia="微软雅黑" w:cs="微软雅黑"/>
                <w:b/>
                <w:bCs w:val="0"/>
                <w:color w:val="0E3B7F"/>
                <w:sz w:val="22"/>
                <w:szCs w:val="21"/>
                <w:lang w:val="en-US" w:eastAsia="zh-CN"/>
              </w:rPr>
            </w:pPr>
            <w:r>
              <w:rPr>
                <w:rFonts w:hint="eastAsia" w:ascii="微软雅黑" w:hAnsi="微软雅黑" w:eastAsia="微软雅黑" w:cs="微软雅黑"/>
                <w:b/>
                <w:bCs w:val="0"/>
                <w:color w:val="0E3B7F"/>
                <w:sz w:val="22"/>
                <w:szCs w:val="21"/>
                <w:lang w:val="en-US" w:eastAsia="zh-CN"/>
              </w:rPr>
              <w:t>Z0018066</w:t>
            </w:r>
          </w:p>
        </w:tc>
      </w:tr>
    </w:tbl>
    <w:p>
      <w:pPr>
        <w:pStyle w:val="27"/>
        <w:pageBreakBefore w:val="0"/>
        <w:numPr>
          <w:ilvl w:val="0"/>
          <w:numId w:val="0"/>
        </w:numPr>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val="0"/>
          <w:sz w:val="22"/>
          <w:szCs w:val="22"/>
          <w:lang w:val="en-US" w:eastAsia="zh-CN"/>
        </w:rPr>
      </w:pP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9762" w:type="dxa"/>
            <w:tcBorders>
              <w:top w:val="nil"/>
              <w:left w:val="nil"/>
              <w:bottom w:val="single" w:color="002060" w:sz="12" w:space="0"/>
              <w:right w:val="nil"/>
            </w:tcBorders>
            <w:shd w:val="clear" w:color="auto" w:fill="E4E5E5" w:themeFill="accent1" w:themeFillTint="32"/>
            <w:vAlign w:val="top"/>
          </w:tcPr>
          <w:p>
            <w:pPr>
              <w:pStyle w:val="27"/>
              <w:pageBreakBefore w:val="0"/>
              <w:numPr>
                <w:ilvl w:val="0"/>
                <w:numId w:val="0"/>
              </w:numPr>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color w:val="28374A" w:themeColor="accent6" w:themeShade="80"/>
                <w:kern w:val="2"/>
                <w:sz w:val="28"/>
                <w:szCs w:val="28"/>
                <w:lang w:val="en-US" w:eastAsia="zh-CN" w:bidi="ar-SA"/>
              </w:rPr>
              <w:t>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9762" w:type="dxa"/>
            <w:tcBorders>
              <w:top w:val="single" w:color="002060" w:sz="12" w:space="0"/>
              <w:left w:val="nil"/>
              <w:bottom w:val="single" w:color="002060" w:sz="12" w:space="0"/>
              <w:right w:val="nil"/>
            </w:tcBorders>
          </w:tcPr>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20" w:firstLineChars="200"/>
              <w:textAlignment w:val="auto"/>
              <w:rPr>
                <w:rFonts w:hint="eastAsia"/>
              </w:rPr>
            </w:pPr>
            <w:r>
              <w:rPr>
                <w:rFonts w:hint="eastAsia"/>
              </w:rPr>
              <w:t>钢材方面，在积极的财政政策和稳健的货币政策下，用钢需求小幅增加，制造业将成为需求中的结构性亮点。产量和品种将与需求匹配，总产量或持平今年。整体供需略好于今年，预计期价震荡偏强，重心小幅抬升。</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20" w:firstLineChars="200"/>
              <w:textAlignment w:val="auto"/>
              <w:rPr>
                <w:rFonts w:hint="eastAsia"/>
              </w:rPr>
            </w:pPr>
            <w:r>
              <w:rPr>
                <w:rFonts w:hint="eastAsia"/>
              </w:rPr>
              <w:t>铁矿方面，供应延续增加，需求增量有限，供需边际转松，整体矛盾不大，预计期价宽幅震荡。节奏上，在发运淡季和库存极低的背景下，明年上半年供需依旧偏紧，价格或前高后低。</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20" w:firstLineChars="200"/>
              <w:textAlignment w:val="auto"/>
              <w:rPr>
                <w:rFonts w:hint="eastAsia"/>
              </w:rPr>
            </w:pPr>
            <w:r>
              <w:rPr>
                <w:rFonts w:hint="eastAsia"/>
              </w:rPr>
              <w:t>利润方面，钢厂在产能过剩和囚徒困境的情况下，利润依旧不佳，铁矿继续强于钢材。</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20" w:firstLineChars="200"/>
              <w:textAlignment w:val="auto"/>
            </w:pPr>
            <w:r>
              <w:rPr>
                <w:rFonts w:hint="eastAsia"/>
              </w:rPr>
              <w:t>风险：制造业复苏不及预期、钢厂行政限产趋严、发改委加强对价格监管。</w:t>
            </w:r>
          </w:p>
        </w:tc>
      </w:tr>
    </w:tbl>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val="0"/>
          <w:sz w:val="24"/>
          <w:szCs w:val="24"/>
          <w:lang w:val="en-US" w:eastAsia="zh-CN"/>
        </w:rPr>
      </w:pPr>
    </w:p>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一、行情回顾</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2023年钢矿在强预期和弱现实这两条主线逻辑切换下整体呈现W形走势，螺纹主力合约较年初下降3.69%，重心有所下移，主要运行在[3600，3900]区间。铁矿主力合约在四季度突破[680，880]震荡区间，较年初上涨13.85%。同时，铁矿受益于全年高炉生产超预期高位运行，走势明显强于钢材，螺矿比持续下降，较年初下降15.41%。</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1-3月中旬，从2022年底开始，房地产出现集中的宽松政策，以及市场对2023年经济复苏心态乐观，强预期开始主导市场。春节后终端开始复工复产，市场出现一波赶工潮，钢矿价格延续震荡上行，螺纹主力创下年内最高点4401元，铁矿主力合约创下前三季度最高点936元。</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3中旬-5月，随着旺季来临，强预期开始进入检验期。然而地产销售出现回落，终端用钢需求不足，钢材去库速度缓慢，炼钢利润收缩，钢厂开始减产。叠加海外银行暴雷，衰退气氛蔓延，市场心态悲观，钢矿进入负反馈下跌，螺纹和铁矿主力创下年内最低点3388元和665.5元。</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6-10月下旬，宏观利好重新开始发力，钢矿价格在淡季止跌反弹。然而终端需求依旧没有改善，三季度迎来了今年第二个旺季不旺，为钢矿价格添加压力。这个阶段钢矿整体在[3600，3900]和[680，880]区间宽幅震荡。</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bCs w:val="0"/>
          <w:kern w:val="2"/>
          <w:sz w:val="22"/>
          <w:szCs w:val="22"/>
          <w:lang w:val="en-US" w:eastAsia="zh-CN" w:bidi="ar-SA"/>
        </w:rPr>
      </w:pPr>
      <w:r>
        <w:rPr>
          <w:rFonts w:hint="eastAsia" w:ascii="微软雅黑" w:hAnsi="微软雅黑" w:eastAsia="微软雅黑" w:cs="微软雅黑"/>
          <w:b w:val="0"/>
          <w:bCs/>
          <w:kern w:val="2"/>
          <w:sz w:val="24"/>
          <w:szCs w:val="24"/>
          <w:lang w:val="en-US" w:eastAsia="zh-CN" w:bidi="ar-SA"/>
        </w:rPr>
        <w:t>10月下旬以后，中央财政将在今年四季度增发2023年国债10000亿元的消息点燃了市场对四季度和2024年的预期。以及铁矿在钢厂持续的高开工下，库存逆季节性去化至历史低位，位钢矿价格上涨提供了支撑。钢矿价格在不断好转的宏观环境下持续上涨，螺纹主力回到区间震荡上沿，铁矿主力突破950元创下近两年新高。</w:t>
      </w:r>
      <w:r>
        <w:rPr>
          <w:rFonts w:hint="eastAsia" w:ascii="微软雅黑" w:hAnsi="微软雅黑" w:eastAsia="微软雅黑" w:cs="微软雅黑"/>
          <w:b/>
          <w:bCs w:val="0"/>
          <w:kern w:val="2"/>
          <w:sz w:val="22"/>
          <w:szCs w:val="22"/>
          <w:lang w:val="en-US" w:eastAsia="zh-CN" w:bidi="ar-SA"/>
        </w:rPr>
        <w:tab/>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图表1：主力合约价格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9762"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5272405" cy="1753235"/>
                  <wp:effectExtent l="0" t="0" r="4445" b="18415"/>
                  <wp:docPr id="6" name="图片 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11"/>
                          <a:stretch>
                            <a:fillRect/>
                          </a:stretch>
                        </pic:blipFill>
                        <pic:spPr>
                          <a:xfrm>
                            <a:off x="0" y="0"/>
                            <a:ext cx="5272405" cy="1753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eastAsia" w:ascii="微软雅黑" w:hAnsi="微软雅黑" w:eastAsia="微软雅黑" w:cs="微软雅黑"/>
          <w:b/>
          <w:bCs w:val="0"/>
          <w:kern w:val="2"/>
          <w:sz w:val="22"/>
          <w:szCs w:val="22"/>
          <w:lang w:val="en-US" w:eastAsia="zh-CN" w:bidi="ar-SA"/>
        </w:rPr>
      </w:pPr>
    </w:p>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8"/>
          <w:szCs w:val="28"/>
          <w:lang w:val="en-US" w:eastAsia="zh-CN"/>
        </w:rPr>
        <w:t>二、需求弱复苏</w:t>
      </w:r>
      <w:r>
        <w:commentReference w:id="0"/>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（一）制造业将成为主要增量</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今年我国制造业景气度稳步回升，1-10月制造业工业增加值累计同比增长4.5%，比上个月加快0.1个百分点。11月制造业PMI为49.4，全年同比有所改善。国内制造业的增长也成为今年我国用钢需求的重要支撑。特别是机械、汽车等诸多行业增势明显，为钢铁业的平稳运行夯实基础。</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从细分行业来看：</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钢结构：产量在近十年由4000万吨增至10140万吨，增长153.5%，远超粗钢产量增速，目前占我国粗钢产量的10%左右。</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汽车：1-10月产量和销量分别累计增长8%和9.1%。新能源汽车继续保持高速增长，1-10月新能源汽车产量和销量分别增长34.04%和37.88%。另外，今年我国自主品牌汽车出口也成为主要亮点，1-10月我国汽车和新能源汽车出口分别增长59.69%和99.4%。</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船舶：1-10月全国造船完工量、新接订单量、手持订单量同比增长分别为12%、69.5%和28.1%。</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风电、光伏：1-10月风电新增装机容量累计同比增长76.49%，光伏新增装机容量累计同比增长144.78%。</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明年制造业投资将延续十四五以来快速发展势头。钢结构用量有望在2025年底增到1.4亿吨左右，占全国粗钢产量比例15%以上；汽车将在今年增长以后保持</w:t>
      </w:r>
      <w:r>
        <w:rPr>
          <w:rFonts w:hint="default" w:ascii="微软雅黑" w:hAnsi="微软雅黑" w:eastAsia="微软雅黑" w:cs="微软雅黑"/>
          <w:b w:val="0"/>
          <w:bCs/>
          <w:kern w:val="2"/>
          <w:sz w:val="24"/>
          <w:szCs w:val="24"/>
          <w:lang w:val="en-US" w:eastAsia="zh-CN" w:bidi="ar-SA"/>
        </w:rPr>
        <w:t>运行在合理区间</w:t>
      </w:r>
      <w:r>
        <w:rPr>
          <w:rFonts w:hint="eastAsia" w:ascii="微软雅黑" w:hAnsi="微软雅黑" w:eastAsia="微软雅黑" w:cs="微软雅黑"/>
          <w:b w:val="0"/>
          <w:bCs/>
          <w:kern w:val="2"/>
          <w:sz w:val="24"/>
          <w:szCs w:val="24"/>
          <w:lang w:val="en-US" w:eastAsia="zh-CN" w:bidi="ar-SA"/>
        </w:rPr>
        <w:t>；造船根据订单到交付2-3年的周期将继续维持景气；风电、光伏在国家产业政策的扶持下仍将高速发展。我国高端制造业的崛起将带动明年制造业用钢继续增长。</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图表2：规模以上工业增加值，制造业PMI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863215" cy="1720850"/>
                  <wp:effectExtent l="0" t="0" r="13335" b="1270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12"/>
                          <a:stretch>
                            <a:fillRect/>
                          </a:stretch>
                        </pic:blipFill>
                        <pic:spPr>
                          <a:xfrm>
                            <a:off x="0" y="0"/>
                            <a:ext cx="2863215" cy="1720850"/>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79905"/>
                  <wp:effectExtent l="0" t="0" r="1016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2961640" cy="17799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（二）基建需求维持韧性</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基建作为逆周期调节工具的主要抓手，在近两年地产进入下行周期中发挥重要的托底经济增长作用。1-10月，基础设施投资累计同比增长5.9%，继续保持较高增速。随着1万亿国债的落地和赤字率的提升，中央将积极加杠杆的空间打开。若明年赤字率按照3.5%安排，只要明年GDP增速达到5%，通胀水平回升至2%，赤字规模就与2023 年增发国债后形成的实际赤字基本持平。考虑到增发的1万亿国债有5000亿元留至明年使用，则明年的财政支出将继续保持一定增速，支撑基建投资的需求。</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不过土地出让收入下滑、政府财政压力增大、隐性债务严格监管等问题将继续拖累基建增速。据IMF估算口径，截止2022年底，地方政府显性债务35万亿，隐性债务约50万亿，合计债务近85万亿；若将隐性债务纳入表内计算，地方政府广义债务率及广义负债率将高达320.4%和74.4%。所以我们可以看到三季度城投企业在内的非金融企业部门杠杆率高达169%，远超政府及居民部门。同时，近两年卖地收入大幅下降，1-10月土地出让收入同比下降20.52%，导致大部分地方收不抵支，某些地方政府甚至无法负担债务利息支出。预计明年不太可能调增太多专项债限额，预计仍然维持在38000亿元左右水平。另外，我国基建投资规模越来越大，专项债的推动效果也越来越有限。</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所以，基建投资将继续在稳定宏观经济方面发挥重要作用，万亿国债的发行将推动基建投资节奏前置。但考虑到政府性基金收入短期难以回暖，以及基建投资基数较高，明年基建投资有望维持韧性，增速预计同比放缓。</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图表3：基建投资增速，主要领域投资增速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79905"/>
                  <wp:effectExtent l="0" t="0" r="1016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2961640" cy="177990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15"/>
                          <a:stretch>
                            <a:fillRect/>
                          </a:stretch>
                        </pic:blipFill>
                        <pic:spPr>
                          <a:xfrm>
                            <a:off x="0" y="0"/>
                            <a:ext cx="2917190" cy="1753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图表4：土地出让收入，政府预期目标:地方专项债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16"/>
                          <a:stretch>
                            <a:fillRect/>
                          </a:stretch>
                        </pic:blipFill>
                        <pic:spPr>
                          <a:xfrm>
                            <a:off x="0" y="0"/>
                            <a:ext cx="2917190" cy="175323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17"/>
                          <a:stretch>
                            <a:fillRect/>
                          </a:stretch>
                        </pic:blipFill>
                        <pic:spPr>
                          <a:xfrm>
                            <a:off x="0" y="0"/>
                            <a:ext cx="2917190" cy="1753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（三）地产用钢依旧低迷</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房地产在</w:t>
      </w:r>
      <w:r>
        <w:rPr>
          <w:rFonts w:hint="default" w:ascii="微软雅黑" w:hAnsi="微软雅黑" w:eastAsia="微软雅黑" w:cs="微软雅黑"/>
          <w:b w:val="0"/>
          <w:bCs/>
          <w:kern w:val="2"/>
          <w:sz w:val="24"/>
          <w:szCs w:val="24"/>
          <w:lang w:val="en-US" w:eastAsia="zh-CN" w:bidi="ar-SA"/>
        </w:rPr>
        <w:t>居民收入预期下降、房价看涨预期不强、期房烂尾顾虑等影响下，商品房销售不佳，1-10月商品房销售面积累计同比下降7.8%。资金回流困难困难进一步加剧房企压力，从而减少地产投资，1-10月房地产开发投资累计同比下降9.3%。为了扭转房地产低迷的状况</w:t>
      </w:r>
      <w:r>
        <w:rPr>
          <w:rFonts w:hint="eastAsia" w:ascii="微软雅黑" w:hAnsi="微软雅黑" w:eastAsia="微软雅黑" w:cs="微软雅黑"/>
          <w:b w:val="0"/>
          <w:bCs/>
          <w:kern w:val="2"/>
          <w:sz w:val="24"/>
          <w:szCs w:val="24"/>
          <w:lang w:val="en-US" w:eastAsia="zh-CN" w:bidi="ar-SA"/>
        </w:rPr>
        <w:t>，</w:t>
      </w:r>
      <w:r>
        <w:rPr>
          <w:rFonts w:hint="default" w:ascii="微软雅黑" w:hAnsi="微软雅黑" w:eastAsia="微软雅黑" w:cs="微软雅黑"/>
          <w:b w:val="0"/>
          <w:bCs/>
          <w:kern w:val="2"/>
          <w:sz w:val="24"/>
          <w:szCs w:val="24"/>
          <w:lang w:val="en-US" w:eastAsia="zh-CN" w:bidi="ar-SA"/>
        </w:rPr>
        <w:t>7 月 24 日，中央政治局会议指出我国房地产市场供求关系发生重大变化，提出要适时调整优化房地产政策。并把保障性住房建设和供给、城中村改造和“平急两用”公共基础设施建设推到更高的战略定位。此次会议之后，地产需求端的政策再次发力，放开限购、实行认房不认贷、下调房贷利率等等政策跟进，更好地支持购房需求</w:t>
      </w:r>
      <w:r>
        <w:rPr>
          <w:rFonts w:hint="eastAsia" w:ascii="微软雅黑" w:hAnsi="微软雅黑" w:eastAsia="微软雅黑" w:cs="微软雅黑"/>
          <w:b w:val="0"/>
          <w:bCs/>
          <w:kern w:val="2"/>
          <w:sz w:val="24"/>
          <w:szCs w:val="24"/>
          <w:lang w:val="en-US" w:eastAsia="zh-CN" w:bidi="ar-SA"/>
        </w:rPr>
        <w:t>。同时，房地产在经历了两年的大幅调整后，今年商品房销售已经接近市场真实的需求水平，2024年地产宽松政策仍有发力空间，以及低基数的效应，商品房销售有望实现同比转正。</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但是明年房企债务到期压力依然较大，根据彭博数据，中资地产商的负债为90.6万亿元人民币，相当于2022年GDP的75%。所以今年以来土地市场依然十分理性，1-10月100城成交土地占地面积累计同比下降25.17%，房屋新开工面积累计同比下降23.2%。从偿还节奏来看，明年2024年Q1-Q4分别约有2100/2000/1300/900亿元到期，明年上半年房企偿付压力仍较为严峻。这也意味着明年上半年用于拿地和新开工的资金较为有限，主要用钢环节的新开工面积或仍将下降。</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另外，本轮城中村改造或以原建筑进行修缮升级为主，实施过程中用钢场景少，以及改造周期长，对明年地产用钢提升有限。</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图表5：商品房销售面积:累计值，房地产开发投资:累计值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2917190" cy="175323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2917190" cy="1753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图表6：100大中城市:成交土地占地面积，房屋新开工面积:累计值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79905"/>
                  <wp:effectExtent l="0" t="0" r="10160"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0"/>
                          <a:stretch>
                            <a:fillRect/>
                          </a:stretch>
                        </pic:blipFill>
                        <pic:spPr>
                          <a:xfrm>
                            <a:off x="0" y="0"/>
                            <a:ext cx="2961640" cy="177990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1"/>
                          <a:stretch>
                            <a:fillRect/>
                          </a:stretch>
                        </pic:blipFill>
                        <pic:spPr>
                          <a:xfrm>
                            <a:off x="0" y="0"/>
                            <a:ext cx="2917190" cy="1753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（四）出口高位回落</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今年我国钢材出口大幅增长，化解了钢材供应的压力，1-10月出口量累计同比增长32.6%。中国钢材出口大增的原因有三：一是我国今年钢价走势较弱，叠加人民币贬值的影响，我国出口钢价相对国外偏低，全年热卷出口价较土耳其低100美元左右，较日本低30美元左右，低价优势为我国提高了国际市场份额；二是海外钢材供应下降，也为我国钢材出口提供了空间。1-9月除中国外全球钢材总产量6.07亿吨，同比下降2.44%；三是我国在“一带一路”沿线国家新接对外承包工程涉及电力工程建设、房屋建设、交通运输建设、石油化工、通讯工程建设等多个领域，为钢材出口创造更多机会。</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宋体" w:cs="微软雅黑"/>
          <w:b w:val="0"/>
          <w:bCs/>
          <w:kern w:val="2"/>
          <w:sz w:val="24"/>
          <w:szCs w:val="24"/>
          <w:lang w:val="en-US" w:eastAsia="zh-CN" w:bidi="ar-SA"/>
        </w:rPr>
      </w:pPr>
      <w:r>
        <w:rPr>
          <w:rFonts w:hint="eastAsia" w:ascii="微软雅黑" w:hAnsi="微软雅黑" w:eastAsia="微软雅黑" w:cs="微软雅黑"/>
          <w:b w:val="0"/>
          <w:bCs/>
          <w:kern w:val="2"/>
          <w:sz w:val="24"/>
          <w:szCs w:val="24"/>
          <w:lang w:val="en-US" w:eastAsia="zh-CN" w:bidi="ar-SA"/>
        </w:rPr>
        <w:t>然而，在今年钢材出口大幅增长的背景下，钢材出口金额并未跟随增加。1-10月出口金额同比下降12.06%，说明我国今年钢材出口增长主要是依靠低价资源进行以价换量。从四季度开始，我国钢价开始持续上涨，低价优势不断减弱，目前热卷价格已经持平日本价格，较土耳其的价差也在不断缩小。不仅如此，国内钢价的快速上涨也不断挤压钢材出口利润，11月钢材出口出现亏损。若明年国内钢价继续上涨，钢厂出口接单意愿或出现下降，甚至造成出口回流。还需要注意的是海外需求并未看到明显好转迹象，11月欧洲制造业PMI虽然出现小幅反弹至43.8，但仍处于荣枯线以下和下降趋势之中，美国制造业PMI10月则环比回落至46.7。另外，根据机构预测，美联储降息也要等到2024年下半年以后，海外经济复苏缓慢，对我国钢材需求增长空间有限。</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图表7：热卷价格，除中国外全球钢材总产量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4"/>
                          <pic:cNvPicPr>
                            <a:picLocks noChangeAspect="1"/>
                          </pic:cNvPicPr>
                        </pic:nvPicPr>
                        <pic:blipFill>
                          <a:blip r:embed="rId22"/>
                          <a:stretch>
                            <a:fillRect/>
                          </a:stretch>
                        </pic:blipFill>
                        <pic:spPr>
                          <a:xfrm>
                            <a:off x="0" y="0"/>
                            <a:ext cx="2917190" cy="175323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8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5"/>
                          <pic:cNvPicPr>
                            <a:picLocks noChangeAspect="1"/>
                          </pic:cNvPicPr>
                        </pic:nvPicPr>
                        <pic:blipFill>
                          <a:blip r:embed="rId23"/>
                          <a:stretch>
                            <a:fillRect/>
                          </a:stretch>
                        </pic:blipFill>
                        <pic:spPr>
                          <a:xfrm>
                            <a:off x="0" y="0"/>
                            <a:ext cx="2917190" cy="1753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图表8：钢材出口和金额，钢材价差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8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6"/>
                          <pic:cNvPicPr>
                            <a:picLocks noChangeAspect="1"/>
                          </pic:cNvPicPr>
                        </pic:nvPicPr>
                        <pic:blipFill>
                          <a:blip r:embed="rId24"/>
                          <a:stretch>
                            <a:fillRect/>
                          </a:stretch>
                        </pic:blipFill>
                        <pic:spPr>
                          <a:xfrm>
                            <a:off x="0" y="0"/>
                            <a:ext cx="2917190" cy="175323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7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1"/>
                          <pic:cNvPicPr>
                            <a:picLocks noChangeAspect="1"/>
                          </pic:cNvPicPr>
                        </pic:nvPicPr>
                        <pic:blipFill>
                          <a:blip r:embed="rId25"/>
                          <a:stretch>
                            <a:fillRect/>
                          </a:stretch>
                        </pic:blipFill>
                        <pic:spPr>
                          <a:xfrm>
                            <a:off x="0" y="0"/>
                            <a:ext cx="2917190" cy="1753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i w:val="0"/>
          <w:caps w:val="0"/>
          <w:color w:val="333333"/>
          <w:spacing w:val="0"/>
          <w:sz w:val="24"/>
          <w:szCs w:val="24"/>
          <w:shd w:val="clear" w:fill="FFFFFF"/>
          <w:lang w:val="en-US" w:eastAsia="zh-CN"/>
        </w:rPr>
        <w:t>整体来看，明年房地产依旧存在压力，拿地和新开工的下降将继续减少用钢需求，地方政府在债务压力下增加基建投资能力有限，以及基建规模不断增大，基建增速或将放缓，恐难弥补房地产带来的减量。出口随着钢材出口利润回落和国际钢材价差收窄，或小幅回落。制造业作为钢铁行业的三大下游行业之一，或将成为用钢需求逆周期中的结构性亮点，对钢铁需求给予强有力的支撑，预计明年在积极的财政政策和稳健的货币政策下，整体用钢需求仍有韧性，或小幅增长1%。</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三、供应进入平稳期</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（一）产量维持高位</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今年钢材下游需求不足，原料成本居高不下，钢厂经营情况不佳，产量却不降反升。1-10月粗钢产量累计87469.5万吨，同比增长1.4%。一方面是今年出口超预期增长填补了内需的减量，另一方面，在供给侧改革之后，我国粗钢产能重回增长趋势，2022年我国粗钢产能再次突破11亿吨。</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明年随着需求小幅回暖，钢厂仍有生产空间。至于产能过剩问题，对于单个钢铁企业来说，为了保住市场份额，谁都不愿意减少产能和产量，最终可能会陷入囚徒困境，试图比谁能生存得更久。所以若无行政干预，钢厂即使小幅亏损，仍会维持一定开工率。</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行政限产方面，钢铁行业作为我国国民经济发展的支柱产业，涉及面广，产业关联度高，在经济</w:t>
      </w:r>
      <w:r>
        <w:rPr>
          <w:rFonts w:hint="default" w:ascii="微软雅黑" w:hAnsi="微软雅黑" w:eastAsia="微软雅黑" w:cs="微软雅黑"/>
          <w:i w:val="0"/>
          <w:caps w:val="0"/>
          <w:color w:val="333333"/>
          <w:spacing w:val="0"/>
          <w:sz w:val="24"/>
          <w:szCs w:val="24"/>
          <w:shd w:val="clear" w:fill="FFFFFF"/>
          <w:lang w:val="en-US" w:eastAsia="zh-CN"/>
        </w:rPr>
        <w:t>下行压力</w:t>
      </w:r>
      <w:r>
        <w:rPr>
          <w:rFonts w:hint="eastAsia" w:ascii="微软雅黑" w:hAnsi="微软雅黑" w:eastAsia="微软雅黑" w:cs="微软雅黑"/>
          <w:i w:val="0"/>
          <w:caps w:val="0"/>
          <w:color w:val="333333"/>
          <w:spacing w:val="0"/>
          <w:sz w:val="24"/>
          <w:szCs w:val="24"/>
          <w:shd w:val="clear" w:fill="FFFFFF"/>
          <w:lang w:val="en-US" w:eastAsia="zh-CN"/>
        </w:rPr>
        <w:t>下，钢企需要承担提供就业、创造税收、促进经济增长等责任，行政干预将逐步弱化。以今年为例，市场消息盛传</w:t>
      </w:r>
      <w:r>
        <w:rPr>
          <w:rFonts w:hint="default" w:ascii="微软雅黑" w:hAnsi="微软雅黑" w:eastAsia="微软雅黑" w:cs="微软雅黑"/>
          <w:i w:val="0"/>
          <w:caps w:val="0"/>
          <w:color w:val="333333"/>
          <w:spacing w:val="0"/>
          <w:sz w:val="24"/>
          <w:szCs w:val="24"/>
          <w:shd w:val="clear" w:fill="FFFFFF"/>
          <w:lang w:val="en-US" w:eastAsia="zh-CN"/>
        </w:rPr>
        <w:t>安徽、甘肃、山东、云南等多地</w:t>
      </w:r>
      <w:r>
        <w:rPr>
          <w:rFonts w:hint="eastAsia" w:ascii="微软雅黑" w:hAnsi="微软雅黑" w:eastAsia="微软雅黑" w:cs="微软雅黑"/>
          <w:i w:val="0"/>
          <w:caps w:val="0"/>
          <w:color w:val="333333"/>
          <w:spacing w:val="0"/>
          <w:sz w:val="24"/>
          <w:szCs w:val="24"/>
          <w:shd w:val="clear" w:fill="FFFFFF"/>
          <w:lang w:val="en-US" w:eastAsia="zh-CN"/>
        </w:rPr>
        <w:t>将进行粗钢压减，而1-10月云南粗钢产量累计1901万吨，同比增长2.6%，说明今年生产并未受到行政限制。另外，10月生态环境部发布“关于公开征求《关于进一步优化重污染天气预警机制的指导意见(征求意见稿)》，要求各地不得以完成空气质量改善目标为理由，随意启动重污染天气预警。</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所以行政干预弱化，产量将通过市场来调节，预计明年钢材供应将维持高位。</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图表9：我国粗钢产量，云南粗钢产量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17190" cy="1753235"/>
                  <wp:effectExtent l="0" t="0" r="16510" b="18415"/>
                  <wp:docPr id="9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7"/>
                          <pic:cNvPicPr>
                            <a:picLocks noChangeAspect="1"/>
                          </pic:cNvPicPr>
                        </pic:nvPicPr>
                        <pic:blipFill>
                          <a:blip r:embed="rId26"/>
                          <a:stretch>
                            <a:fillRect/>
                          </a:stretch>
                        </pic:blipFill>
                        <pic:spPr>
                          <a:xfrm>
                            <a:off x="0" y="0"/>
                            <a:ext cx="2917190" cy="175323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79905"/>
                  <wp:effectExtent l="0" t="0" r="10160" b="10795"/>
                  <wp:docPr id="9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8"/>
                          <pic:cNvPicPr>
                            <a:picLocks noChangeAspect="1"/>
                          </pic:cNvPicPr>
                        </pic:nvPicPr>
                        <pic:blipFill>
                          <a:blip r:embed="rId27"/>
                          <a:stretch>
                            <a:fillRect/>
                          </a:stretch>
                        </pic:blipFill>
                        <pic:spPr>
                          <a:xfrm>
                            <a:off x="0" y="0"/>
                            <a:ext cx="2961640" cy="17799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（二）高炉难以替代</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今年短流程行业持续处于亏损状态，废钢回收加工基地也受到较大影响，部分基地出现现阶段性停收的情况，电弧炉开工率及产能利用率水平偏低，所以今年钢材产量增长的贡献主要来自高炉。1-10月生铁产量累计同比增长2.3%，超过粗钢增速1.4%。明年预计建筑行业废钢产出量继续下降，汽车、新能源等行业废钢资源量有所增长。由于建筑行业在用钢和产废中占比较高，所以预计废钢资源增量有限，将限制电炉对高炉的替代。同时，高炉在产能置换后，“退小上大”趋势明显，由于新设备在效率上提升，实际铁水生产能力有增无减。</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所以在废钢资源偏紧的背景下，即使铁矿价格居高不下，废钢在铁废价差中仍然没有明显的优势，所以预计高炉开工将维持高位。</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图表10：生铁产量增速，生铁-废钢价差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59735" cy="1783715"/>
                  <wp:effectExtent l="0" t="0" r="12065" b="6985"/>
                  <wp:docPr id="12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6"/>
                          <pic:cNvPicPr>
                            <a:picLocks noChangeAspect="1"/>
                          </pic:cNvPicPr>
                        </pic:nvPicPr>
                        <pic:blipFill>
                          <a:blip r:embed="rId28"/>
                          <a:stretch>
                            <a:fillRect/>
                          </a:stretch>
                        </pic:blipFill>
                        <pic:spPr>
                          <a:xfrm>
                            <a:off x="0" y="0"/>
                            <a:ext cx="2959735" cy="178371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59735" cy="1783715"/>
                  <wp:effectExtent l="0" t="0" r="12065" b="6985"/>
                  <wp:docPr id="12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7"/>
                          <pic:cNvPicPr>
                            <a:picLocks noChangeAspect="1"/>
                          </pic:cNvPicPr>
                        </pic:nvPicPr>
                        <pic:blipFill>
                          <a:blip r:embed="rId29"/>
                          <a:stretch>
                            <a:fillRect/>
                          </a:stretch>
                        </pic:blipFill>
                        <pic:spPr>
                          <a:xfrm>
                            <a:off x="0" y="0"/>
                            <a:ext cx="2959735" cy="1783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（三）</w:t>
      </w:r>
      <w:r>
        <w:commentReference w:id="1"/>
      </w:r>
      <w:r>
        <w:rPr>
          <w:rFonts w:hint="eastAsia" w:ascii="微软雅黑" w:hAnsi="微软雅黑" w:eastAsia="微软雅黑" w:cs="微软雅黑"/>
          <w:b/>
          <w:bCs w:val="0"/>
          <w:kern w:val="2"/>
          <w:sz w:val="24"/>
          <w:szCs w:val="24"/>
          <w:lang w:val="en-US" w:eastAsia="zh-CN" w:bidi="ar-SA"/>
        </w:rPr>
        <w:t>供应结构调整</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随着房地产进入下行周期，以房地产为主要下游的螺纹钢产量出现明显下降，2022年同比下降10.62%，远超粗钢产量降幅。以机械、汽车等制造业为主要下游的热轧卷板，受益于我国高端制造快速崛起，产量仅下降0.43%。其余品种也与主要应用下游行业发展趋势较为吻合。2019年至今，螺纹、线材、热卷、冷轧、中厚板的产量占比也从33.97%、14.62%、31.98%、7.52%、11.92变化至28.97%、12.13%、33.75%、8.88%、16.27%。以今年螺纹和热卷的产量为例，螺纹钢产量较上半年最高点回落13%左右，热卷产量较年初低点增长8.6%。预计明年螺纹钢、线材产量仍将受到房地产的拖累出现下滑，热卷、冷轧、中厚板产量在高端制造业发展的带动下还有增长空间。</w:t>
      </w:r>
      <w:r>
        <w:commentReference w:id="2"/>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图表11：五大钢材产量占比，螺纹和热卷产量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79905"/>
                  <wp:effectExtent l="0" t="0" r="10160" b="1079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0"/>
                          <a:stretch>
                            <a:fillRect/>
                          </a:stretch>
                        </pic:blipFill>
                        <pic:spPr>
                          <a:xfrm>
                            <a:off x="0" y="0"/>
                            <a:ext cx="2961640" cy="177990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79905"/>
                  <wp:effectExtent l="0" t="0" r="10160" b="10795"/>
                  <wp:docPr id="10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3"/>
                          <pic:cNvPicPr>
                            <a:picLocks noChangeAspect="1"/>
                          </pic:cNvPicPr>
                        </pic:nvPicPr>
                        <pic:blipFill>
                          <a:blip r:embed="rId31"/>
                          <a:stretch>
                            <a:fillRect/>
                          </a:stretch>
                        </pic:blipFill>
                        <pic:spPr>
                          <a:xfrm>
                            <a:off x="0" y="0"/>
                            <a:ext cx="2961640" cy="17799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整体来看，我国钢铁产量在2020年达到高峰，随着产能过剩问题逐渐凸显，产量将与消费匹配。由于明年钢材需求存在韧性，以及钢厂面临囚徒困境，预计钢材供应将保持刚性，持平今年，高炉开工维持高位，钢材品种将跟随需求结构调整。</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四、铁矿下半年以后才能边际转松</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（一）</w:t>
      </w:r>
      <w:r>
        <w:commentReference w:id="3"/>
      </w:r>
      <w:r>
        <w:rPr>
          <w:rFonts w:hint="eastAsia" w:ascii="微软雅黑" w:hAnsi="微软雅黑" w:eastAsia="微软雅黑" w:cs="微软雅黑"/>
          <w:b/>
          <w:bCs w:val="0"/>
          <w:kern w:val="2"/>
          <w:sz w:val="24"/>
          <w:szCs w:val="24"/>
          <w:lang w:val="en-US" w:eastAsia="zh-CN" w:bidi="ar-SA"/>
        </w:rPr>
        <w:t>铁矿供需偏紧</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近年来，随着全球铁矿业务投资的增加，新项目的投产和主流矿山运营状况的改善，全球</w:t>
      </w:r>
      <w:r>
        <w:rPr>
          <w:rFonts w:hint="eastAsia" w:ascii="微软雅黑" w:hAnsi="微软雅黑" w:eastAsia="微软雅黑" w:cs="微软雅黑"/>
          <w:i w:val="0"/>
          <w:caps w:val="0"/>
          <w:color w:val="333333"/>
          <w:spacing w:val="0"/>
          <w:sz w:val="24"/>
          <w:szCs w:val="24"/>
          <w:shd w:val="clear" w:fill="FFFFFF"/>
          <w:lang w:val="en-US" w:eastAsia="zh-CN"/>
        </w:rPr>
        <w:fldChar w:fldCharType="begin"/>
      </w:r>
      <w:r>
        <w:rPr>
          <w:rFonts w:hint="eastAsia" w:ascii="微软雅黑" w:hAnsi="微软雅黑" w:eastAsia="微软雅黑" w:cs="微软雅黑"/>
          <w:i w:val="0"/>
          <w:caps w:val="0"/>
          <w:color w:val="333333"/>
          <w:spacing w:val="0"/>
          <w:sz w:val="24"/>
          <w:szCs w:val="24"/>
          <w:shd w:val="clear" w:fill="FFFFFF"/>
          <w:lang w:val="en-US" w:eastAsia="zh-CN"/>
        </w:rPr>
        <w:instrText xml:space="preserve"> HYPERLINK "https://tks.mysteel.com/" \t "https://news.mysteel.com/a/23111308/_blank" </w:instrText>
      </w:r>
      <w:r>
        <w:rPr>
          <w:rFonts w:hint="eastAsia" w:ascii="微软雅黑" w:hAnsi="微软雅黑" w:eastAsia="微软雅黑" w:cs="微软雅黑"/>
          <w:i w:val="0"/>
          <w:caps w:val="0"/>
          <w:color w:val="333333"/>
          <w:spacing w:val="0"/>
          <w:sz w:val="24"/>
          <w:szCs w:val="24"/>
          <w:shd w:val="clear" w:fill="FFFFFF"/>
          <w:lang w:val="en-US" w:eastAsia="zh-CN"/>
        </w:rPr>
        <w:fldChar w:fldCharType="separate"/>
      </w:r>
      <w:r>
        <w:rPr>
          <w:rFonts w:hint="eastAsia" w:ascii="微软雅黑" w:hAnsi="微软雅黑" w:eastAsia="微软雅黑" w:cs="微软雅黑"/>
          <w:i w:val="0"/>
          <w:caps w:val="0"/>
          <w:color w:val="333333"/>
          <w:spacing w:val="0"/>
          <w:sz w:val="24"/>
          <w:szCs w:val="24"/>
          <w:shd w:val="clear" w:fill="FFFFFF"/>
          <w:lang w:val="en-US" w:eastAsia="zh-CN"/>
        </w:rPr>
        <w:t>铁矿石</w:t>
      </w:r>
      <w:r>
        <w:rPr>
          <w:rFonts w:hint="eastAsia" w:ascii="微软雅黑" w:hAnsi="微软雅黑" w:eastAsia="微软雅黑" w:cs="微软雅黑"/>
          <w:i w:val="0"/>
          <w:caps w:val="0"/>
          <w:color w:val="333333"/>
          <w:spacing w:val="0"/>
          <w:sz w:val="24"/>
          <w:szCs w:val="24"/>
          <w:shd w:val="clear" w:fill="FFFFFF"/>
          <w:lang w:val="en-US" w:eastAsia="zh-CN"/>
        </w:rPr>
        <w:fldChar w:fldCharType="end"/>
      </w:r>
      <w:r>
        <w:rPr>
          <w:rFonts w:hint="eastAsia" w:ascii="微软雅黑" w:hAnsi="微软雅黑" w:eastAsia="微软雅黑" w:cs="微软雅黑"/>
          <w:i w:val="0"/>
          <w:caps w:val="0"/>
          <w:color w:val="333333"/>
          <w:spacing w:val="0"/>
          <w:sz w:val="24"/>
          <w:szCs w:val="24"/>
          <w:shd w:val="clear" w:fill="FFFFFF"/>
          <w:lang w:val="en-US" w:eastAsia="zh-CN"/>
        </w:rPr>
        <w:t>市场供给稳中有升。1-10月我国铁矿石进口9.75亿吨，同比增长6.5%。铁矿石作为我国战略矿产资源，为了提升铁矿资源保障能力，我国也加快推动国内铁矿项目开发。1-10月我国精粉产量累计值2.23亿吨，同比增长2.52%。但是由于今年我国铁水维持高位，1-10月生铁产量7.44亿吨，同比增长2.45%，导致铁矿供需依旧偏紧，10月底港口和钢厂铁矿总库存较年初下降3000万吨左右，降幅较去年有所收窄。</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图表12：铁矿石供应，港口和钢厂铁矿总库存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79905"/>
                  <wp:effectExtent l="0" t="0" r="10160" b="1079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2"/>
                          <a:stretch>
                            <a:fillRect/>
                          </a:stretch>
                        </pic:blipFill>
                        <pic:spPr>
                          <a:xfrm>
                            <a:off x="0" y="0"/>
                            <a:ext cx="2961640" cy="177990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79905"/>
                  <wp:effectExtent l="0" t="0" r="10160" b="1079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3"/>
                          <a:stretch>
                            <a:fillRect/>
                          </a:stretch>
                        </pic:blipFill>
                        <pic:spPr>
                          <a:xfrm>
                            <a:off x="0" y="0"/>
                            <a:ext cx="2961640" cy="17799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（二）供应增长较为确定</w:t>
      </w:r>
      <w:r>
        <w:commentReference w:id="4"/>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1.四大矿山小幅增长</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淡水河谷：2023年目标产量仍维持3.1-3.2亿吨不变。根据第三季度产销报告，淡水河谷铁矿石总产量8623.8万吨，环比增加9.5%，同比减少3.9%。以年度生产目标为3.1亿吨折算来看，</w:t>
      </w:r>
      <w:r>
        <w:rPr>
          <w:rFonts w:hint="default" w:ascii="微软雅黑" w:hAnsi="微软雅黑" w:eastAsia="微软雅黑" w:cs="微软雅黑"/>
          <w:i w:val="0"/>
          <w:caps w:val="0"/>
          <w:color w:val="333333"/>
          <w:spacing w:val="0"/>
          <w:sz w:val="24"/>
          <w:szCs w:val="24"/>
          <w:shd w:val="clear" w:fill="FFFFFF"/>
          <w:lang w:val="en-US" w:eastAsia="zh-CN"/>
        </w:rPr>
        <w:t>VALE产量目标完成度为74.7%，处于近四年以来的高位水平，完成年度生产目标</w:t>
      </w:r>
      <w:r>
        <w:rPr>
          <w:rFonts w:hint="eastAsia" w:ascii="微软雅黑" w:hAnsi="微软雅黑" w:eastAsia="微软雅黑" w:cs="微软雅黑"/>
          <w:i w:val="0"/>
          <w:caps w:val="0"/>
          <w:color w:val="333333"/>
          <w:spacing w:val="0"/>
          <w:sz w:val="24"/>
          <w:szCs w:val="24"/>
          <w:shd w:val="clear" w:fill="FFFFFF"/>
          <w:lang w:val="en-US" w:eastAsia="zh-CN"/>
        </w:rPr>
        <w:t>难度不大，较2022年产量增长约500万吨左右。</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r>
        <w:rPr>
          <w:rFonts w:ascii="微软雅黑" w:hAnsi="微软雅黑" w:eastAsia="微软雅黑" w:cs="微软雅黑"/>
          <w:i w:val="0"/>
          <w:caps w:val="0"/>
          <w:color w:val="333333"/>
          <w:spacing w:val="0"/>
          <w:sz w:val="24"/>
          <w:szCs w:val="24"/>
          <w:shd w:val="clear" w:fill="FFFFFF"/>
        </w:rPr>
        <w:t>力拓</w:t>
      </w: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lang w:val="en-US" w:eastAsia="zh-CN"/>
        </w:rPr>
        <w:t>全年发运指导目标区间仍保持在3.2-3.35亿吨。三季度力拓皮尔巴拉业务</w:t>
      </w:r>
      <w:r>
        <w:rPr>
          <w:rFonts w:hint="eastAsia" w:ascii="微软雅黑" w:hAnsi="微软雅黑" w:eastAsia="微软雅黑" w:cs="微软雅黑"/>
          <w:i w:val="0"/>
          <w:caps w:val="0"/>
          <w:color w:val="333333"/>
          <w:spacing w:val="0"/>
          <w:sz w:val="24"/>
          <w:szCs w:val="24"/>
          <w:shd w:val="clear" w:fill="FFFFFF"/>
          <w:lang w:val="en-US" w:eastAsia="zh-CN"/>
        </w:rPr>
        <w:fldChar w:fldCharType="begin"/>
      </w:r>
      <w:r>
        <w:rPr>
          <w:rFonts w:hint="eastAsia" w:ascii="微软雅黑" w:hAnsi="微软雅黑" w:eastAsia="微软雅黑" w:cs="微软雅黑"/>
          <w:i w:val="0"/>
          <w:caps w:val="0"/>
          <w:color w:val="333333"/>
          <w:spacing w:val="0"/>
          <w:sz w:val="24"/>
          <w:szCs w:val="24"/>
          <w:shd w:val="clear" w:fill="FFFFFF"/>
          <w:lang w:val="en-US" w:eastAsia="zh-CN"/>
        </w:rPr>
        <w:instrText xml:space="preserve"> HYPERLINK "https://tks.mysteel.com/datas/article/pa6242aaaaaa1.html" \t "https://tks.mysteel.com/a/23101715/_blank" </w:instrText>
      </w:r>
      <w:r>
        <w:rPr>
          <w:rFonts w:hint="eastAsia" w:ascii="微软雅黑" w:hAnsi="微软雅黑" w:eastAsia="微软雅黑" w:cs="微软雅黑"/>
          <w:i w:val="0"/>
          <w:caps w:val="0"/>
          <w:color w:val="333333"/>
          <w:spacing w:val="0"/>
          <w:sz w:val="24"/>
          <w:szCs w:val="24"/>
          <w:shd w:val="clear" w:fill="FFFFFF"/>
          <w:lang w:val="en-US" w:eastAsia="zh-CN"/>
        </w:rPr>
        <w:fldChar w:fldCharType="separate"/>
      </w:r>
      <w:r>
        <w:rPr>
          <w:rFonts w:hint="eastAsia" w:ascii="微软雅黑" w:hAnsi="微软雅黑" w:eastAsia="微软雅黑" w:cs="微软雅黑"/>
          <w:i w:val="0"/>
          <w:caps w:val="0"/>
          <w:color w:val="333333"/>
          <w:spacing w:val="0"/>
          <w:sz w:val="24"/>
          <w:szCs w:val="24"/>
          <w:shd w:val="clear" w:fill="FFFFFF"/>
          <w:lang w:val="en-US" w:eastAsia="zh-CN"/>
        </w:rPr>
        <w:t>铁矿石发运</w:t>
      </w:r>
      <w:r>
        <w:rPr>
          <w:rFonts w:hint="eastAsia" w:ascii="微软雅黑" w:hAnsi="微软雅黑" w:eastAsia="微软雅黑" w:cs="微软雅黑"/>
          <w:i w:val="0"/>
          <w:caps w:val="0"/>
          <w:color w:val="333333"/>
          <w:spacing w:val="0"/>
          <w:sz w:val="24"/>
          <w:szCs w:val="24"/>
          <w:shd w:val="clear" w:fill="FFFFFF"/>
          <w:lang w:val="en-US" w:eastAsia="zh-CN"/>
        </w:rPr>
        <w:fldChar w:fldCharType="end"/>
      </w:r>
      <w:r>
        <w:rPr>
          <w:rFonts w:hint="eastAsia" w:ascii="微软雅黑" w:hAnsi="微软雅黑" w:eastAsia="微软雅黑" w:cs="微软雅黑"/>
          <w:i w:val="0"/>
          <w:caps w:val="0"/>
          <w:color w:val="333333"/>
          <w:spacing w:val="0"/>
          <w:sz w:val="24"/>
          <w:szCs w:val="24"/>
          <w:shd w:val="clear" w:fill="FFFFFF"/>
          <w:lang w:val="en-US" w:eastAsia="zh-CN"/>
        </w:rPr>
        <w:t>量环比和同比涨幅分别达到6%和1%，前三季度同比增长5%。发运进度已完成了全年约75%，且较去年同期有明显提升，因此完成其全年指导目标几乎没有难度，预计发运同比增加约600万吨。另外，力拓宣传明年皮尔巴拉铁矿石业务发运量预计为3.23亿吨至3.38亿吨，较2023年上下区间分别提升300万吨，将继续为全球铁矿石供给提供增量。</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必和必拓：</w:t>
      </w:r>
      <w:r>
        <w:rPr>
          <w:rFonts w:ascii="微软雅黑" w:hAnsi="微软雅黑" w:eastAsia="微软雅黑" w:cs="微软雅黑"/>
          <w:i w:val="0"/>
          <w:caps w:val="0"/>
          <w:color w:val="333333"/>
          <w:spacing w:val="0"/>
          <w:sz w:val="24"/>
          <w:szCs w:val="24"/>
          <w:shd w:val="clear" w:fill="FFFFFF"/>
        </w:rPr>
        <w:t>2023</w:t>
      </w:r>
      <w:r>
        <w:rPr>
          <w:rFonts w:hint="eastAsia" w:ascii="微软雅黑" w:hAnsi="微软雅黑" w:eastAsia="微软雅黑" w:cs="微软雅黑"/>
          <w:i w:val="0"/>
          <w:caps w:val="0"/>
          <w:color w:val="333333"/>
          <w:spacing w:val="0"/>
          <w:sz w:val="24"/>
          <w:szCs w:val="24"/>
          <w:shd w:val="clear" w:fill="FFFFFF"/>
        </w:rPr>
        <w:t>财年</w:t>
      </w:r>
      <w:r>
        <w:rPr>
          <w:rFonts w:hint="eastAsia" w:ascii="微软雅黑" w:hAnsi="微软雅黑" w:eastAsia="微软雅黑" w:cs="微软雅黑"/>
          <w:i w:val="0"/>
          <w:caps w:val="0"/>
          <w:color w:val="333333"/>
          <w:spacing w:val="0"/>
          <w:sz w:val="24"/>
          <w:szCs w:val="24"/>
          <w:shd w:val="clear" w:fill="FFFFFF"/>
        </w:rPr>
        <w:fldChar w:fldCharType="begin"/>
      </w:r>
      <w:r>
        <w:rPr>
          <w:rFonts w:hint="eastAsia" w:ascii="微软雅黑" w:hAnsi="微软雅黑" w:eastAsia="微软雅黑" w:cs="微软雅黑"/>
          <w:i w:val="0"/>
          <w:caps w:val="0"/>
          <w:color w:val="333333"/>
          <w:spacing w:val="0"/>
          <w:sz w:val="24"/>
          <w:szCs w:val="24"/>
          <w:shd w:val="clear" w:fill="FFFFFF"/>
        </w:rPr>
        <w:instrText xml:space="preserve"> HYPERLINK "https://tks.mysteel.com/" \t "https://tks.mysteel.com/a/23072016/_blank" </w:instrText>
      </w:r>
      <w:r>
        <w:rPr>
          <w:rFonts w:hint="eastAsia" w:ascii="微软雅黑" w:hAnsi="微软雅黑" w:eastAsia="微软雅黑" w:cs="微软雅黑"/>
          <w:i w:val="0"/>
          <w:caps w:val="0"/>
          <w:color w:val="333333"/>
          <w:spacing w:val="0"/>
          <w:sz w:val="24"/>
          <w:szCs w:val="24"/>
          <w:shd w:val="clear" w:fill="FFFFFF"/>
        </w:rPr>
        <w:fldChar w:fldCharType="separate"/>
      </w:r>
      <w:r>
        <w:rPr>
          <w:rFonts w:hint="eastAsia" w:ascii="微软雅黑" w:hAnsi="微软雅黑" w:eastAsia="微软雅黑" w:cs="微软雅黑"/>
          <w:i w:val="0"/>
          <w:caps w:val="0"/>
          <w:color w:val="333333"/>
          <w:spacing w:val="0"/>
          <w:sz w:val="24"/>
          <w:szCs w:val="24"/>
          <w:shd w:val="clear" w:fill="FFFFFF"/>
        </w:rPr>
        <w:t>铁矿石</w:t>
      </w:r>
      <w:r>
        <w:rPr>
          <w:rFonts w:hint="eastAsia" w:ascii="微软雅黑" w:hAnsi="微软雅黑" w:eastAsia="微软雅黑" w:cs="微软雅黑"/>
          <w:i w:val="0"/>
          <w:caps w:val="0"/>
          <w:color w:val="333333"/>
          <w:spacing w:val="0"/>
          <w:sz w:val="24"/>
          <w:szCs w:val="24"/>
          <w:shd w:val="clear" w:fill="FFFFFF"/>
        </w:rPr>
        <w:fldChar w:fldCharType="end"/>
      </w:r>
      <w:r>
        <w:rPr>
          <w:rFonts w:hint="eastAsia" w:ascii="微软雅黑" w:hAnsi="微软雅黑" w:eastAsia="微软雅黑" w:cs="微软雅黑"/>
          <w:i w:val="0"/>
          <w:caps w:val="0"/>
          <w:color w:val="333333"/>
          <w:spacing w:val="0"/>
          <w:sz w:val="24"/>
          <w:szCs w:val="24"/>
          <w:shd w:val="clear" w:fill="FFFFFF"/>
        </w:rPr>
        <w:t>总产量合计2.85亿吨，略高于其此前指导目标中间值2.84亿吨</w:t>
      </w:r>
      <w:r>
        <w:rPr>
          <w:rFonts w:hint="eastAsia" w:ascii="微软雅黑" w:hAnsi="微软雅黑" w:eastAsia="微软雅黑" w:cs="微软雅黑"/>
          <w:i w:val="0"/>
          <w:caps w:val="0"/>
          <w:color w:val="333333"/>
          <w:spacing w:val="0"/>
          <w:sz w:val="24"/>
          <w:szCs w:val="24"/>
          <w:shd w:val="clear" w:fill="FFFFFF"/>
          <w:lang w:eastAsia="zh-CN"/>
        </w:rPr>
        <w:t>。</w:t>
      </w:r>
      <w:r>
        <w:rPr>
          <w:rFonts w:ascii="微软雅黑" w:hAnsi="微软雅黑" w:eastAsia="微软雅黑" w:cs="微软雅黑"/>
          <w:i w:val="0"/>
          <w:caps w:val="0"/>
          <w:color w:val="333333"/>
          <w:spacing w:val="0"/>
          <w:sz w:val="24"/>
          <w:szCs w:val="24"/>
          <w:shd w:val="clear" w:fill="FFFFFF"/>
        </w:rPr>
        <w:t>根据最新季报显示，</w:t>
      </w:r>
      <w:r>
        <w:rPr>
          <w:rFonts w:hint="eastAsia" w:ascii="微软雅黑" w:hAnsi="微软雅黑" w:eastAsia="微软雅黑" w:cs="微软雅黑"/>
          <w:i w:val="0"/>
          <w:caps w:val="0"/>
          <w:color w:val="333333"/>
          <w:spacing w:val="0"/>
          <w:sz w:val="24"/>
          <w:szCs w:val="24"/>
          <w:shd w:val="clear" w:fill="FFFFFF"/>
        </w:rPr>
        <w:t>BHP三季度铁矿石总产量6322.5万吨，环同比分别下降3%</w:t>
      </w: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lang w:val="en-US" w:eastAsia="zh-CN"/>
        </w:rPr>
        <w:t>由于此前的优异表现，公司</w:t>
      </w:r>
      <w:r>
        <w:rPr>
          <w:rFonts w:ascii="微软雅黑" w:hAnsi="微软雅黑" w:eastAsia="微软雅黑" w:cs="微软雅黑"/>
          <w:i w:val="0"/>
          <w:caps w:val="0"/>
          <w:color w:val="333333"/>
          <w:spacing w:val="0"/>
          <w:sz w:val="24"/>
          <w:szCs w:val="24"/>
          <w:shd w:val="clear" w:fill="FFFFFF"/>
        </w:rPr>
        <w:t>在二季度报告中上调了2024财年产量指导目标</w:t>
      </w: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lang w:val="en-US" w:eastAsia="zh-CN"/>
        </w:rPr>
        <w:t>目前</w:t>
      </w:r>
      <w:r>
        <w:rPr>
          <w:rFonts w:hint="eastAsia" w:ascii="微软雅黑" w:hAnsi="微软雅黑" w:eastAsia="微软雅黑" w:cs="微软雅黑"/>
          <w:i w:val="0"/>
          <w:caps w:val="0"/>
          <w:color w:val="333333"/>
          <w:spacing w:val="0"/>
          <w:sz w:val="24"/>
          <w:szCs w:val="24"/>
          <w:shd w:val="clear" w:fill="FFFFFF"/>
        </w:rPr>
        <w:t>维持产量指导目标2.82-2.94亿吨不变</w:t>
      </w: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lang w:val="en-US" w:eastAsia="zh-CN"/>
        </w:rPr>
        <w:t>增长约400万吨左右。</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FMG：2023财年发货量创历史新高，达1.92亿吨，同比增长2%。不过受检修和故障影响，三季度铁矿发运低于预期，导致前三季度发运总量为14114万吨，同比减少1.6%。目前2024财年的发运指导目标与此前一致，保持在1.92-1.97亿吨。随着铁桥项目已于2023年8月正式过渡到运营生产阶段，增长约300万吨。</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2.非主流矿大幅增加</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除澳、巴以外的铁矿供应在我国进口占比约16%左右，由于成交更高，所以供应受价格影响较大。从历史数据来看，非主流矿进口和铁矿价格有明显的正相关关系，并且当价格超过110美元时，非主流矿进口将有明显增量。今年铁矿均在118美元左右，刺激了各大矿山铁矿发往我国的积极性，1-10月非主流矿进口累计1.58亿吨，同比增长25.14%，其中主要增量来自印度，累计3022万吨，同比增长205.6%，得益于其下调</w:t>
      </w:r>
      <w:r>
        <w:rPr>
          <w:rFonts w:hint="default" w:ascii="微软雅黑" w:hAnsi="微软雅黑" w:eastAsia="微软雅黑" w:cs="微软雅黑"/>
          <w:i w:val="0"/>
          <w:caps w:val="0"/>
          <w:color w:val="333333"/>
          <w:spacing w:val="0"/>
          <w:sz w:val="24"/>
          <w:szCs w:val="24"/>
          <w:shd w:val="clear" w:fill="FFFFFF"/>
          <w:lang w:val="en-US" w:eastAsia="zh-CN"/>
        </w:rPr>
        <w:t>铁矿石出口关税</w:t>
      </w:r>
      <w:r>
        <w:rPr>
          <w:rFonts w:hint="eastAsia" w:ascii="微软雅黑" w:hAnsi="微软雅黑" w:eastAsia="微软雅黑" w:cs="微软雅黑"/>
          <w:i w:val="0"/>
          <w:caps w:val="0"/>
          <w:color w:val="333333"/>
          <w:spacing w:val="0"/>
          <w:sz w:val="24"/>
          <w:szCs w:val="24"/>
          <w:shd w:val="clear" w:fill="FFFFFF"/>
          <w:lang w:val="en-US" w:eastAsia="zh-CN"/>
        </w:rPr>
        <w:t xml:space="preserve">。而以往作为第三大铁矿石出口国的南非，受供电和运输问题，发往我国的量延续小幅下降。不过随着当地政府已经陆续设法通过多种途径改善当下的困境。以及中国企业也积极参与其相关基建的提升和建设计划之中，南非铁矿供应增量仍有空间。所以，以目前铁矿石在130美元以上的高位，非主流矿发往我国的铁矿将延续增加。 </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图表13：进口矿占比，非主流进口量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79905"/>
                  <wp:effectExtent l="0" t="0" r="10160" b="1079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4"/>
                          <a:stretch>
                            <a:fillRect/>
                          </a:stretch>
                        </pic:blipFill>
                        <pic:spPr>
                          <a:xfrm>
                            <a:off x="0" y="0"/>
                            <a:ext cx="2961640" cy="177990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59735" cy="1783715"/>
                  <wp:effectExtent l="0" t="0" r="12065" b="6985"/>
                  <wp:docPr id="14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8"/>
                          <pic:cNvPicPr>
                            <a:picLocks noChangeAspect="1"/>
                          </pic:cNvPicPr>
                        </pic:nvPicPr>
                        <pic:blipFill>
                          <a:blip r:embed="rId35"/>
                          <a:stretch>
                            <a:fillRect/>
                          </a:stretch>
                        </pic:blipFill>
                        <pic:spPr>
                          <a:xfrm>
                            <a:off x="0" y="0"/>
                            <a:ext cx="2959735" cy="1783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3.国产矿供应能力提升</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2022年，中钢协提出“基石计划”，明确了提升国内矿产量、支持国内废钢回收和利用、在防风险前提下加快海外矿开发三大举措。叠加铁矿石价格维持高位，铁矿勘查在多地已积极行动起来。2022年黑色金属矿采选业固定资产投资额增长33.3%，直到今年下半年受宏观因素影响，投资信心减弱，投资额才出现同比转负。</w:t>
      </w:r>
      <w:r>
        <w:rPr>
          <w:rFonts w:hint="default" w:ascii="微软雅黑" w:hAnsi="微软雅黑" w:eastAsia="微软雅黑" w:cs="微软雅黑"/>
          <w:i w:val="0"/>
          <w:caps w:val="0"/>
          <w:color w:val="333333"/>
          <w:spacing w:val="0"/>
          <w:sz w:val="24"/>
          <w:szCs w:val="24"/>
          <w:shd w:val="clear" w:fill="FFFFFF"/>
          <w:lang w:val="en-US" w:eastAsia="zh-CN"/>
        </w:rPr>
        <w:t>目前，国内重点铁矿项目中已开工十多项，新增铁精矿产能约5000万吨。</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基石计划作为</w:t>
      </w:r>
      <w:r>
        <w:rPr>
          <w:rFonts w:ascii="微软雅黑" w:hAnsi="微软雅黑" w:eastAsia="微软雅黑" w:cs="微软雅黑"/>
          <w:i w:val="0"/>
          <w:caps w:val="0"/>
          <w:color w:val="333333"/>
          <w:spacing w:val="0"/>
          <w:sz w:val="24"/>
          <w:szCs w:val="24"/>
          <w:shd w:val="clear" w:fill="FFFFFF"/>
        </w:rPr>
        <w:t>用10年至15年时间，切实改变我国铁资源来源构成，从根本上补足钢铁产业链资源短板</w:t>
      </w:r>
      <w:r>
        <w:rPr>
          <w:rFonts w:hint="eastAsia" w:ascii="微软雅黑" w:hAnsi="微软雅黑" w:eastAsia="微软雅黑" w:cs="微软雅黑"/>
          <w:i w:val="0"/>
          <w:caps w:val="0"/>
          <w:color w:val="333333"/>
          <w:spacing w:val="0"/>
          <w:sz w:val="24"/>
          <w:szCs w:val="24"/>
          <w:shd w:val="clear" w:fill="FFFFFF"/>
          <w:lang w:val="en-US" w:eastAsia="zh-CN"/>
        </w:rPr>
        <w:t>的长期规划，</w:t>
      </w:r>
      <w:r>
        <w:rPr>
          <w:rFonts w:ascii="微软雅黑" w:hAnsi="微软雅黑" w:eastAsia="微软雅黑" w:cs="微软雅黑"/>
          <w:i w:val="0"/>
          <w:caps w:val="0"/>
          <w:color w:val="333333"/>
          <w:spacing w:val="0"/>
          <w:sz w:val="24"/>
          <w:szCs w:val="24"/>
          <w:shd w:val="clear" w:fill="FFFFFF"/>
        </w:rPr>
        <w:t>提出到2025年，国内矿产量、废钢消耗量和海外权益矿分别达到3.7亿吨、3亿吨和2.2亿吨，分别比2020年增加1亿吨、0.7亿吨和1亿吨。</w:t>
      </w:r>
      <w:r>
        <w:rPr>
          <w:rFonts w:hint="eastAsia" w:ascii="微软雅黑" w:hAnsi="微软雅黑" w:eastAsia="微软雅黑" w:cs="微软雅黑"/>
          <w:i w:val="0"/>
          <w:caps w:val="0"/>
          <w:color w:val="333333"/>
          <w:spacing w:val="0"/>
          <w:sz w:val="24"/>
          <w:szCs w:val="24"/>
          <w:shd w:val="clear" w:fill="FFFFFF"/>
          <w:lang w:val="en-US" w:eastAsia="zh-CN"/>
        </w:rPr>
        <w:t>目前仍处于早期建设阶段，还面临</w:t>
      </w:r>
      <w:r>
        <w:rPr>
          <w:rFonts w:ascii="微软雅黑" w:hAnsi="微软雅黑" w:eastAsia="微软雅黑" w:cs="微软雅黑"/>
          <w:i w:val="0"/>
          <w:caps w:val="0"/>
          <w:color w:val="333333"/>
          <w:spacing w:val="0"/>
          <w:sz w:val="24"/>
          <w:szCs w:val="24"/>
          <w:shd w:val="clear" w:fill="FFFFFF"/>
        </w:rPr>
        <w:t>国内多数铁矿资源“贫细杂”禀赋劣势突出，开采成本高、选矿成本高</w:t>
      </w:r>
      <w:r>
        <w:rPr>
          <w:rFonts w:hint="eastAsia" w:ascii="微软雅黑" w:hAnsi="微软雅黑" w:eastAsia="微软雅黑" w:cs="微软雅黑"/>
          <w:i w:val="0"/>
          <w:caps w:val="0"/>
          <w:color w:val="333333"/>
          <w:spacing w:val="0"/>
          <w:sz w:val="24"/>
          <w:szCs w:val="24"/>
          <w:shd w:val="clear" w:fill="FFFFFF"/>
          <w:lang w:val="en-US" w:eastAsia="zh-CN"/>
        </w:rPr>
        <w:t>等诸多困难，所以今年铁矿产能所有提升，但产能利用率仍较往年变化不大，后续随着更多</w:t>
      </w:r>
      <w:r>
        <w:rPr>
          <w:rFonts w:ascii="微软雅黑" w:hAnsi="微软雅黑" w:eastAsia="微软雅黑" w:cs="微软雅黑"/>
          <w:i w:val="0"/>
          <w:caps w:val="0"/>
          <w:color w:val="333333"/>
          <w:spacing w:val="0"/>
          <w:sz w:val="24"/>
          <w:szCs w:val="24"/>
          <w:shd w:val="clear" w:fill="FFFFFF"/>
        </w:rPr>
        <w:t>支持政策和激励措施</w:t>
      </w:r>
      <w:r>
        <w:rPr>
          <w:rFonts w:hint="eastAsia" w:ascii="微软雅黑" w:hAnsi="微软雅黑" w:eastAsia="微软雅黑" w:cs="微软雅黑"/>
          <w:i w:val="0"/>
          <w:caps w:val="0"/>
          <w:color w:val="333333"/>
          <w:spacing w:val="0"/>
          <w:sz w:val="24"/>
          <w:szCs w:val="24"/>
          <w:shd w:val="clear" w:fill="FFFFFF"/>
          <w:lang w:val="en-US" w:eastAsia="zh-CN"/>
        </w:rPr>
        <w:t>的落地，国产铁矿产量将继续增加。</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图表14：固定资产投资完成额:采矿业:黑色金属矿采选业:累计同比，矿山产能利用率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59735" cy="1783715"/>
                  <wp:effectExtent l="0" t="0" r="12065" b="6985"/>
                  <wp:docPr id="14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0"/>
                          <pic:cNvPicPr>
                            <a:picLocks noChangeAspect="1"/>
                          </pic:cNvPicPr>
                        </pic:nvPicPr>
                        <pic:blipFill>
                          <a:blip r:embed="rId36"/>
                          <a:stretch>
                            <a:fillRect/>
                          </a:stretch>
                        </pic:blipFill>
                        <pic:spPr>
                          <a:xfrm>
                            <a:off x="0" y="0"/>
                            <a:ext cx="2959735" cy="178371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58465" cy="1780540"/>
                  <wp:effectExtent l="0" t="0" r="13335" b="10160"/>
                  <wp:docPr id="14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1"/>
                          <pic:cNvPicPr>
                            <a:picLocks noChangeAspect="1"/>
                          </pic:cNvPicPr>
                        </pic:nvPicPr>
                        <pic:blipFill>
                          <a:blip r:embed="rId37"/>
                          <a:stretch>
                            <a:fillRect/>
                          </a:stretch>
                        </pic:blipFill>
                        <pic:spPr>
                          <a:xfrm>
                            <a:off x="0" y="0"/>
                            <a:ext cx="2958465" cy="17805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整体来看，四大矿山今年完成年度目标压力不大，根据明年目标将提供1500万吨左右的增量。非主流矿由于海外经济复苏缓慢，钢材产量增量有限，我国钢厂在需求回暖的背景下开工预计维持高位，非主流矿发往我国的铁矿石预计延续增加。以及国产矿随着基石计划的推进，产量或有明显的增加，明年铁矿供应或增长2%。</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en-US" w:eastAsia="zh-CN" w:bidi="ar-SA"/>
        </w:rPr>
        <w:t>（三）明年下半年铁矿供需才能转松</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澳大利亚和巴西作为我国最主要的供应国，受天气影响，呈现出明显的季节性特点：一季度因雨季和飓风天气，发运往往处于年度最低水平；二季度发运逐步恢复，6月澳大利亚财年末和季末发运冲量通常会迎来一波发运高峰</w:t>
      </w:r>
      <w:r>
        <w:rPr>
          <w:rFonts w:hint="default" w:ascii="微软雅黑" w:hAnsi="微软雅黑" w:eastAsia="微软雅黑" w:cs="微软雅黑"/>
          <w:i w:val="0"/>
          <w:caps w:val="0"/>
          <w:color w:val="333333"/>
          <w:spacing w:val="0"/>
          <w:sz w:val="24"/>
          <w:szCs w:val="24"/>
          <w:shd w:val="clear" w:fill="FFFFFF"/>
          <w:lang w:val="en-US" w:eastAsia="zh-CN"/>
        </w:rPr>
        <w:t>。</w:t>
      </w:r>
      <w:r>
        <w:rPr>
          <w:rFonts w:hint="eastAsia" w:ascii="微软雅黑" w:hAnsi="微软雅黑" w:eastAsia="微软雅黑" w:cs="微软雅黑"/>
          <w:i w:val="0"/>
          <w:caps w:val="0"/>
          <w:color w:val="333333"/>
          <w:spacing w:val="0"/>
          <w:sz w:val="24"/>
          <w:szCs w:val="24"/>
          <w:shd w:val="clear" w:fill="FFFFFF"/>
          <w:lang w:val="en-US" w:eastAsia="zh-CN"/>
        </w:rPr>
        <w:t>同时，因为海运周期的问题，澳大利亚和巴西铁矿从发运到我国港口大概需要2周和6周左右的时间，所以我国进口铁矿一般要到下半年才开始放量。</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另外，由于这几年铁矿石价格波动剧烈，为了避免了大批量购买美元货而下游订单跟不上的风险，钢厂采取低库存策略，这也意味着钢厂要损失铁矿石采购的调节能力，增加在港口现货的采购，所以在今年铁水产量维持高位的情况下，港口库存持续去化，目前港口库存1.14亿吨，至少要等到今年底才能回升至往年低位1.2亿吨以上。</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由于我国终端需求在春节以后就开始逐步启动，铁矿石明年上半年基本都是供应淡季，在当前极低的库存水平下，供需偏紧的局面预计无法改善，要等到下半年才能边际转松。所以铁矿石价格的强势，也导致明年钢厂利润依旧偏低，钢厂预计延续原料低库存策略，则刚需补库的节奏将影响铁矿石价格的强弱。</w:t>
      </w:r>
    </w:p>
    <w:tbl>
      <w:tblPr>
        <w:tblStyle w:val="16"/>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1"/>
        <w:gridCol w:w="4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nil"/>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图表15：港口库存，钢厂库存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7" w:hRule="atLeast"/>
        </w:trPr>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53235"/>
                  <wp:effectExtent l="0" t="0" r="10160" b="18415"/>
                  <wp:docPr id="152" name="图片 84"/>
                  <wp:cNvGraphicFramePr/>
                  <a:graphic xmlns:a="http://schemas.openxmlformats.org/drawingml/2006/main">
                    <a:graphicData uri="http://schemas.openxmlformats.org/drawingml/2006/picture">
                      <pic:pic xmlns:pic="http://schemas.openxmlformats.org/drawingml/2006/picture">
                        <pic:nvPicPr>
                          <pic:cNvPr id="152" name="图片 84"/>
                          <pic:cNvPicPr/>
                        </pic:nvPicPr>
                        <pic:blipFill>
                          <a:blip r:embed="rId38"/>
                          <a:stretch>
                            <a:fillRect/>
                          </a:stretch>
                        </pic:blipFill>
                        <pic:spPr>
                          <a:xfrm>
                            <a:off x="0" y="0"/>
                            <a:ext cx="2961640" cy="1753235"/>
                          </a:xfrm>
                          <a:prstGeom prst="rect">
                            <a:avLst/>
                          </a:prstGeom>
                          <a:noFill/>
                          <a:ln>
                            <a:noFill/>
                          </a:ln>
                        </pic:spPr>
                      </pic:pic>
                    </a:graphicData>
                  </a:graphic>
                </wp:inline>
              </w:drawing>
            </w:r>
          </w:p>
        </w:tc>
        <w:tc>
          <w:tcPr>
            <w:tcW w:w="4881" w:type="dxa"/>
            <w:tcBorders>
              <w:top w:val="single" w:color="auto" w:sz="4" w:space="0"/>
              <w:left w:val="nil"/>
              <w:bottom w:val="single" w:color="auto" w:sz="4" w:space="0"/>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jc w:val="center"/>
              <w:textAlignment w:val="auto"/>
            </w:pPr>
            <w:r>
              <w:drawing>
                <wp:inline distT="0" distB="0" distL="114300" distR="114300">
                  <wp:extent cx="2961640" cy="1760220"/>
                  <wp:effectExtent l="0" t="0" r="10160" b="11430"/>
                  <wp:docPr id="153" name="图片 85"/>
                  <wp:cNvGraphicFramePr/>
                  <a:graphic xmlns:a="http://schemas.openxmlformats.org/drawingml/2006/main">
                    <a:graphicData uri="http://schemas.openxmlformats.org/drawingml/2006/picture">
                      <pic:pic xmlns:pic="http://schemas.openxmlformats.org/drawingml/2006/picture">
                        <pic:nvPicPr>
                          <pic:cNvPr id="153" name="图片 85"/>
                          <pic:cNvPicPr/>
                        </pic:nvPicPr>
                        <pic:blipFill>
                          <a:blip r:embed="rId39"/>
                          <a:stretch>
                            <a:fillRect/>
                          </a:stretch>
                        </pic:blipFill>
                        <pic:spPr>
                          <a:xfrm>
                            <a:off x="0" y="0"/>
                            <a:ext cx="2961640" cy="17602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2" w:type="dxa"/>
            <w:gridSpan w:val="2"/>
            <w:tcBorders>
              <w:top w:val="single" w:color="auto" w:sz="4" w:space="0"/>
              <w:left w:val="nil"/>
              <w:bottom w:val="nil"/>
              <w:right w:val="nil"/>
            </w:tcBorders>
          </w:tcPr>
          <w:p>
            <w:pPr>
              <w:pStyle w:val="27"/>
              <w:pageBreakBefore w:val="0"/>
              <w:numPr>
                <w:ilvl w:val="0"/>
                <w:numId w:val="0"/>
              </w:numPr>
              <w:tabs>
                <w:tab w:val="left" w:pos="8002"/>
              </w:tabs>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val="0"/>
                <w:sz w:val="22"/>
                <w:szCs w:val="22"/>
                <w:vertAlign w:val="baseline"/>
                <w:lang w:val="en-US" w:eastAsia="zh-CN"/>
              </w:rPr>
            </w:pPr>
            <w:r>
              <w:rPr>
                <w:rFonts w:hint="eastAsia" w:ascii="微软雅黑" w:hAnsi="微软雅黑" w:eastAsia="微软雅黑" w:cs="微软雅黑"/>
                <w:b w:val="0"/>
                <w:bCs/>
                <w:sz w:val="21"/>
                <w:szCs w:val="21"/>
                <w:vertAlign w:val="baseline"/>
                <w:lang w:val="en-US" w:eastAsia="zh-CN"/>
              </w:rPr>
              <w:t>数据来源：Mysteel、iFinD</w:t>
            </w:r>
          </w:p>
        </w:tc>
      </w:tr>
    </w:tbl>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整体来看，明年铁矿供应延续增加，而需求增量有限，供需或逐步转松。但节奏上由于上半年属于铁矿石发运淡季，以及目前铁矿库存极低，明年上半年铁矿供需在我国经济回暖的过程中依旧偏紧，要等到下半年才边际宽松。</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40" w:firstLineChars="200"/>
        <w:textAlignment w:val="auto"/>
        <w:rPr>
          <w:rFonts w:hint="default" w:ascii="微软雅黑" w:hAnsi="微软雅黑" w:eastAsia="微软雅黑" w:cs="微软雅黑"/>
          <w:b w:val="0"/>
          <w:bCs/>
          <w:kern w:val="2"/>
          <w:sz w:val="22"/>
          <w:szCs w:val="22"/>
          <w:lang w:val="en-US" w:eastAsia="zh-CN" w:bidi="ar-SA"/>
        </w:rPr>
      </w:pP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eastAsia" w:ascii="微软雅黑" w:hAnsi="微软雅黑" w:eastAsia="微软雅黑" w:cs="微软雅黑"/>
          <w:b/>
          <w:bCs w:val="0"/>
          <w:sz w:val="28"/>
          <w:szCs w:val="28"/>
          <w:lang w:val="en-US" w:eastAsia="zh-CN"/>
        </w:rPr>
      </w:pPr>
      <w:r>
        <w:rPr>
          <w:rFonts w:hint="eastAsia" w:ascii="微软雅黑" w:hAnsi="微软雅黑" w:eastAsia="微软雅黑" w:cs="微软雅黑"/>
          <w:b/>
          <w:bCs w:val="0"/>
          <w:sz w:val="28"/>
          <w:szCs w:val="28"/>
          <w:lang w:val="en-US" w:eastAsia="zh-CN"/>
        </w:rPr>
        <w:t>五．总结</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钢材方面，在积极的财政政策和稳健的货币政策下，用钢需求小幅增加，制造业将成为需求中的结构性亮点。产量和品种将与需求匹配，总产量或持平今年。整体供需略好于今年，预计期价震荡偏强，运行区间[3500,4800]，重心小幅抬升。</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铁矿方面，供应延续增加，需求增量有限，供需边际转松，整体矛盾不大，预计期价宽幅震荡，运行区间[700,1100]。节奏上，在发运淡季和库存极低的背景下，明年上半年供需依旧偏紧，价格或前高后低。</w:t>
      </w:r>
      <w:bookmarkStart w:id="0" w:name="_GoBack"/>
      <w:bookmarkEnd w:id="0"/>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利润方面，钢厂在产能过剩和囚徒困境的情况下，利润依旧不佳，铁矿继续强于钢材。</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default" w:ascii="微软雅黑" w:hAnsi="微软雅黑" w:eastAsia="微软雅黑" w:cs="微软雅黑"/>
          <w:i w:val="0"/>
          <w:caps w:val="0"/>
          <w:color w:val="333333"/>
          <w:spacing w:val="0"/>
          <w:sz w:val="24"/>
          <w:szCs w:val="24"/>
          <w:shd w:val="clear" w:fill="FFFFFF"/>
          <w:lang w:val="en-US" w:eastAsia="zh-CN"/>
        </w:rPr>
      </w:pPr>
      <w:r>
        <w:rPr>
          <w:rFonts w:hint="eastAsia" w:ascii="微软雅黑" w:hAnsi="微软雅黑" w:eastAsia="微软雅黑" w:cs="微软雅黑"/>
          <w:i w:val="0"/>
          <w:caps w:val="0"/>
          <w:color w:val="333333"/>
          <w:spacing w:val="0"/>
          <w:sz w:val="24"/>
          <w:szCs w:val="24"/>
          <w:shd w:val="clear" w:fill="FFFFFF"/>
          <w:lang w:val="en-US" w:eastAsia="zh-CN"/>
        </w:rPr>
        <w:t>风险：制造业复苏不及预期、钢厂行政限产趋严、发改委加强对价格监管。</w:t>
      </w: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480" w:firstLineChars="200"/>
        <w:textAlignment w:val="auto"/>
        <w:rPr>
          <w:rFonts w:hint="eastAsia" w:ascii="微软雅黑" w:hAnsi="微软雅黑" w:eastAsia="微软雅黑" w:cs="微软雅黑"/>
          <w:i w:val="0"/>
          <w:caps w:val="0"/>
          <w:color w:val="333333"/>
          <w:spacing w:val="0"/>
          <w:sz w:val="24"/>
          <w:szCs w:val="24"/>
          <w:shd w:val="clear" w:fill="FFFFFF"/>
          <w:lang w:val="en-US" w:eastAsia="zh-CN"/>
        </w:rPr>
      </w:pP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ind w:firstLine="540" w:firstLineChars="200"/>
        <w:textAlignment w:val="auto"/>
        <w:rPr>
          <w:rFonts w:ascii="Arial" w:hAnsi="Arial" w:eastAsia="宋体" w:cs="Arial"/>
          <w:i w:val="0"/>
          <w:caps w:val="0"/>
          <w:color w:val="222222"/>
          <w:spacing w:val="0"/>
          <w:sz w:val="27"/>
          <w:szCs w:val="27"/>
          <w:shd w:val="clear" w:fill="FFFFFF"/>
        </w:rPr>
      </w:pPr>
    </w:p>
    <w:p>
      <w:pPr>
        <w:pStyle w:val="27"/>
        <w:keepNext w:val="0"/>
        <w:keepLines w:val="0"/>
        <w:pageBreakBefore w:val="0"/>
        <w:widowControl w:val="0"/>
        <w:numPr>
          <w:ilvl w:val="0"/>
          <w:numId w:val="0"/>
        </w:numPr>
        <w:tabs>
          <w:tab w:val="left" w:pos="8002"/>
        </w:tabs>
        <w:kinsoku/>
        <w:wordWrap/>
        <w:overflowPunct/>
        <w:topLinePunct w:val="0"/>
        <w:autoSpaceDE/>
        <w:autoSpaceDN/>
        <w:bidi w:val="0"/>
        <w:adjustRightInd/>
        <w:snapToGrid w:val="0"/>
        <w:spacing w:line="276" w:lineRule="auto"/>
        <w:textAlignment w:val="auto"/>
        <w:rPr>
          <w:rFonts w:hint="eastAsia" w:ascii="微软雅黑" w:hAnsi="微软雅黑" w:eastAsia="微软雅黑" w:cs="微软雅黑"/>
          <w:b w:val="0"/>
          <w:bCs/>
          <w:kern w:val="2"/>
          <w:sz w:val="22"/>
          <w:szCs w:val="22"/>
          <w:lang w:val="en-US" w:eastAsia="zh-CN" w:bidi="ar-SA"/>
        </w:rPr>
      </w:pPr>
      <w:r>
        <w:rPr>
          <w:rFonts w:hint="eastAsia" w:ascii="微软雅黑" w:hAnsi="微软雅黑" w:eastAsia="微软雅黑" w:cs="微软雅黑"/>
          <w:b w:val="0"/>
          <w:bCs/>
          <w:kern w:val="2"/>
          <w:sz w:val="22"/>
          <w:szCs w:val="22"/>
          <w:lang w:val="en-US" w:eastAsia="zh-CN" w:bidi="ar-SA"/>
        </w:rPr>
        <w:tab/>
      </w:r>
    </w:p>
    <w:p>
      <w:pPr>
        <w:pageBreakBefore w:val="0"/>
        <w:kinsoku/>
        <w:wordWrap/>
        <w:overflowPunct/>
        <w:topLinePunct w:val="0"/>
        <w:autoSpaceDE/>
        <w:autoSpaceDN/>
        <w:bidi w:val="0"/>
        <w:adjustRightInd/>
        <w:snapToGrid/>
        <w:spacing w:line="276"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351270" cy="8509000"/>
            <wp:effectExtent l="0" t="0" r="11430" b="6350"/>
            <wp:docPr id="1" name="图片 1" descr="89825d6cb4590c8e9461aeee66f0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825d6cb4590c8e9461aeee66f01eb"/>
                    <pic:cNvPicPr>
                      <a:picLocks noChangeAspect="1"/>
                    </pic:cNvPicPr>
                  </pic:nvPicPr>
                  <pic:blipFill>
                    <a:blip r:embed="rId40"/>
                    <a:srcRect l="2586" t="5433" r="4062" b="5267"/>
                    <a:stretch>
                      <a:fillRect/>
                    </a:stretch>
                  </pic:blipFill>
                  <pic:spPr>
                    <a:xfrm>
                      <a:off x="0" y="0"/>
                      <a:ext cx="6351270" cy="8509000"/>
                    </a:xfrm>
                    <a:prstGeom prst="rect">
                      <a:avLst/>
                    </a:prstGeom>
                    <a:ln>
                      <a:noFill/>
                    </a:ln>
                  </pic:spPr>
                </pic:pic>
              </a:graphicData>
            </a:graphic>
          </wp:inline>
        </w:drawing>
      </w:r>
    </w:p>
    <w:sectPr>
      <w:headerReference r:id="rId7" w:type="first"/>
      <w:footerReference r:id="rId9" w:type="first"/>
      <w:headerReference r:id="rId5" w:type="default"/>
      <w:footerReference r:id="rId8" w:type="default"/>
      <w:headerReference r:id="rId6" w:type="even"/>
      <w:type w:val="continuous"/>
      <w:pgSz w:w="11906" w:h="16838"/>
      <w:pgMar w:top="851" w:right="1134" w:bottom="1134" w:left="1134" w:header="454" w:footer="992" w:gutter="0"/>
      <w:pgBorders w:display="firstPage">
        <w:top w:val="single" w:color="FFFFFF" w:themeColor="background1" w:sz="12" w:space="1"/>
        <w:left w:val="none" w:sz="0" w:space="0"/>
        <w:bottom w:val="none" w:sz="0" w:space="0"/>
        <w:right w:val="none" w:sz="0" w:space="0"/>
      </w:pgBorders>
      <w:cols w:space="425" w:num="1"/>
      <w:titlePg/>
      <w:docGrid w:type="linesAndChar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123" w:date="2023-12-11T12:03:18Z" w:initials="1">
    <w:p w14:paraId="086736A6">
      <w:pPr>
        <w:pStyle w:val="5"/>
        <w:rPr>
          <w:rFonts w:hint="default" w:eastAsiaTheme="minorEastAsia"/>
          <w:lang w:val="en-US" w:eastAsia="zh-CN"/>
        </w:rPr>
      </w:pPr>
      <w:r>
        <w:rPr>
          <w:rFonts w:hint="eastAsia"/>
          <w:lang w:val="en-US" w:eastAsia="zh-CN"/>
        </w:rPr>
        <w:t>全文感觉有点本末倒置，建议把顺序反过来，先写行情大供需紧的铁矿，再写钢材生产和结构变化，最后写行业政策导向和明年宏观预期对终端需求的影响。不要只调顺序，注意合并同类项，明晰表达重点。</w:t>
      </w:r>
    </w:p>
  </w:comment>
  <w:comment w:id="1" w:author="123" w:date="2023-12-11T11:32:41Z" w:initials="1">
    <w:p w14:paraId="22ED0A54">
      <w:pPr>
        <w:pStyle w:val="5"/>
        <w:rPr>
          <w:rFonts w:hint="default" w:eastAsiaTheme="minorEastAsia"/>
          <w:lang w:val="en-US" w:eastAsia="zh-CN"/>
        </w:rPr>
      </w:pPr>
      <w:r>
        <w:rPr>
          <w:rFonts w:hint="eastAsia"/>
          <w:lang w:val="en-US" w:eastAsia="zh-CN"/>
        </w:rPr>
        <w:t>题目改一下，钢材供给结构调整</w:t>
      </w:r>
    </w:p>
  </w:comment>
  <w:comment w:id="2" w:author="123" w:date="2023-12-11T11:54:07Z" w:initials="1">
    <w:p w14:paraId="1C9C3233">
      <w:pPr>
        <w:pStyle w:val="5"/>
        <w:rPr>
          <w:rFonts w:hint="default" w:eastAsiaTheme="minorEastAsia"/>
          <w:lang w:val="en-US" w:eastAsia="zh-CN"/>
        </w:rPr>
      </w:pPr>
      <w:r>
        <w:rPr>
          <w:rFonts w:hint="eastAsia"/>
          <w:lang w:val="en-US" w:eastAsia="zh-CN"/>
        </w:rPr>
        <w:t>写一下不同种产量占比变化</w:t>
      </w:r>
    </w:p>
  </w:comment>
  <w:comment w:id="3" w:author="123" w:date="2023-12-11T12:00:11Z" w:initials="1">
    <w:p w14:paraId="18F36A64">
      <w:pPr>
        <w:pStyle w:val="5"/>
        <w:rPr>
          <w:rFonts w:hint="default" w:eastAsiaTheme="minorEastAsia"/>
          <w:lang w:val="en-US" w:eastAsia="zh-CN"/>
        </w:rPr>
      </w:pPr>
      <w:r>
        <w:rPr>
          <w:rFonts w:hint="eastAsia"/>
          <w:lang w:val="en-US" w:eastAsia="zh-CN"/>
        </w:rPr>
        <w:t>四大矿山、非主流矿、国产矿的供应绝对值和占比有吗？为啥每个环节供给数据都是增加的，但23年铁矿表现为供应紧张、库存低？</w:t>
      </w:r>
    </w:p>
  </w:comment>
  <w:comment w:id="4" w:author="123" w:date="2023-12-11T12:00:11Z" w:initials="1">
    <w:p w14:paraId="3D5A48C0">
      <w:pPr>
        <w:pStyle w:val="5"/>
        <w:rPr>
          <w:rFonts w:hint="default" w:eastAsiaTheme="minorEastAsia"/>
          <w:lang w:val="en-US" w:eastAsia="zh-CN"/>
        </w:rPr>
      </w:pPr>
      <w:r>
        <w:rPr>
          <w:rFonts w:hint="eastAsia"/>
          <w:lang w:val="en-US" w:eastAsia="zh-CN"/>
        </w:rPr>
        <w:t>四大矿山、非主流矿、国产矿的供应绝对值和占比有吗？为啥每个环节供给数据都是增加的，但23年铁矿表现为供应紧张、库存低？</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86736A6" w15:done="0"/>
  <w15:commentEx w15:paraId="22ED0A54" w15:done="0"/>
  <w15:commentEx w15:paraId="1C9C3233" w15:done="0"/>
  <w15:commentEx w15:paraId="18F36A64" w15:done="0"/>
  <w15:commentEx w15:paraId="3D5A48C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ranklin Gothic Book">
    <w:panose1 w:val="020B0503020102020204"/>
    <w:charset w:val="00"/>
    <w:family w:val="auto"/>
    <w:pitch w:val="default"/>
    <w:sig w:usb0="00000287" w:usb1="00000000" w:usb2="00000000" w:usb3="00000000" w:csb0="2000009F" w:csb1="DFD70000"/>
  </w:font>
  <w:font w:name="隶书">
    <w:panose1 w:val="02010509060101010101"/>
    <w:charset w:val="86"/>
    <w:family w:val="auto"/>
    <w:pitch w:val="default"/>
    <w:sig w:usb0="00000001" w:usb1="080E0000" w:usb2="00000000" w:usb3="00000000" w:csb0="00040000" w:csb1="00000000"/>
  </w:font>
  <w:font w:name="Franklin Gothic Medium">
    <w:panose1 w:val="020B0603020102020204"/>
    <w:charset w:val="00"/>
    <w:family w:val="auto"/>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pPr w:leftFromText="180" w:rightFromText="180" w:vertAnchor="text" w:tblpY="1"/>
      <w:tblOverlap w:val="never"/>
      <w:tblW w:w="9889" w:type="dxa"/>
      <w:tblInd w:w="0" w:type="dxa"/>
      <w:tblBorders>
        <w:top w:val="single" w:color="8E8E8D" w:themeColor="text2" w:themeTint="99"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64"/>
      <w:gridCol w:w="425"/>
    </w:tblGrid>
    <w:tr>
      <w:tblPrEx>
        <w:tblBorders>
          <w:top w:val="single" w:color="8E8E8D" w:themeColor="text2" w:themeTint="99"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464" w:type="dxa"/>
          <w:tcBorders>
            <w:top w:val="single" w:color="91A7C3" w:themeColor="accent6" w:themeTint="99" w:sz="12" w:space="0"/>
          </w:tcBorders>
          <w:vAlign w:val="bottom"/>
        </w:tcPr>
        <w:p>
          <w:pPr>
            <w:pStyle w:val="7"/>
            <w:jc w:val="center"/>
            <w:rPr>
              <w:rFonts w:ascii="宋体" w:hAnsi="宋体" w:eastAsia="宋体"/>
              <w:sz w:val="24"/>
              <w:szCs w:val="24"/>
            </w:rPr>
          </w:pPr>
          <w:r>
            <w:rPr>
              <w:rFonts w:hint="eastAsia" w:ascii="宋体" w:hAnsi="宋体" w:eastAsia="宋体"/>
              <w:sz w:val="24"/>
              <w:szCs w:val="24"/>
            </w:rPr>
            <w:t xml:space="preserve">     </w:t>
          </w:r>
          <w:r>
            <w:rPr>
              <w:rFonts w:hint="eastAsia" w:ascii="微软雅黑" w:hAnsi="微软雅黑" w:eastAsia="微软雅黑" w:cs="微软雅黑"/>
              <w:sz w:val="24"/>
              <w:szCs w:val="24"/>
            </w:rPr>
            <w:t>管理风险    创造财富</w:t>
          </w:r>
        </w:p>
      </w:tc>
      <w:tc>
        <w:tcPr>
          <w:tcW w:w="425" w:type="dxa"/>
          <w:tcBorders>
            <w:top w:val="single" w:color="91A7C3" w:themeColor="accent6" w:themeTint="99" w:sz="12" w:space="0"/>
          </w:tcBorders>
        </w:tcPr>
        <w:p>
          <w:pPr>
            <w:pStyle w:val="7"/>
            <w:rPr>
              <w:sz w:val="24"/>
            </w:rPr>
          </w:pPr>
          <w:r>
            <w:rPr>
              <w:sz w:val="24"/>
            </w:rPr>
            <w:fldChar w:fldCharType="begin"/>
          </w:r>
          <w:r>
            <w:rPr>
              <w:sz w:val="24"/>
            </w:rPr>
            <w:instrText xml:space="preserve">PAGE   \* MERGEFORMAT</w:instrText>
          </w:r>
          <w:r>
            <w:rPr>
              <w:sz w:val="24"/>
            </w:rPr>
            <w:fldChar w:fldCharType="separate"/>
          </w:r>
          <w:r>
            <w:rPr>
              <w:sz w:val="24"/>
              <w:lang w:val="zh-CN"/>
            </w:rPr>
            <w:t>2</w:t>
          </w:r>
          <w:r>
            <w:rPr>
              <w:sz w:val="24"/>
            </w:rPr>
            <w:fldChar w:fldCharType="end"/>
          </w:r>
        </w:p>
      </w:tc>
    </w:tr>
    <w:tr>
      <w:tblPrEx>
        <w:tblBorders>
          <w:top w:val="single" w:color="8E8E8D" w:themeColor="text2" w:themeTint="99"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464" w:type="dxa"/>
          <w:tcBorders>
            <w:top w:val="nil"/>
          </w:tcBorders>
        </w:tcPr>
        <w:p>
          <w:pPr>
            <w:pStyle w:val="7"/>
            <w:jc w:val="center"/>
            <w:rPr>
              <w:rFonts w:ascii="华文楷体" w:hAnsi="华文楷体" w:eastAsia="华文楷体"/>
              <w:sz w:val="8"/>
              <w:szCs w:val="24"/>
            </w:rPr>
          </w:pPr>
          <w:r>
            <w:rPr>
              <w:rFonts w:hint="eastAsia" w:ascii="华文楷体" w:hAnsi="华文楷体" w:eastAsia="华文楷体"/>
              <w:sz w:val="24"/>
              <w:szCs w:val="24"/>
            </w:rPr>
            <w:t xml:space="preserve">   </w:t>
          </w:r>
        </w:p>
      </w:tc>
      <w:tc>
        <w:tcPr>
          <w:tcW w:w="425" w:type="dxa"/>
          <w:tcBorders>
            <w:top w:val="nil"/>
          </w:tcBorders>
        </w:tcPr>
        <w:p>
          <w:pPr>
            <w:pStyle w:val="7"/>
          </w:pPr>
        </w:p>
      </w:tc>
    </w:tr>
    <w:tr>
      <w:tblPrEx>
        <w:tblBorders>
          <w:top w:val="single" w:color="8E8E8D" w:themeColor="text2" w:themeTint="99"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89" w:type="dxa"/>
          <w:gridSpan w:val="2"/>
          <w:tcBorders>
            <w:top w:val="nil"/>
          </w:tcBorders>
        </w:tcPr>
        <w:p>
          <w:pPr>
            <w:pStyle w:val="7"/>
            <w:jc w:val="right"/>
          </w:pPr>
          <w:r>
            <w:rPr>
              <w:rFonts w:hint="eastAsia"/>
            </w:rPr>
            <w:t>请仔细阅读正文后的免责声明</w:t>
          </w:r>
        </w:p>
      </w:tc>
    </w:tr>
  </w:tbl>
  <w:p>
    <w:pPr>
      <w:pStyle w:val="7"/>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pPr w:leftFromText="180" w:rightFromText="180" w:vertAnchor="text" w:tblpY="1"/>
      <w:tblOverlap w:val="never"/>
      <w:tblW w:w="9889" w:type="dxa"/>
      <w:tblInd w:w="0" w:type="dxa"/>
      <w:tblBorders>
        <w:top w:val="single" w:color="8E8E8D" w:themeColor="text2" w:themeTint="99"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64"/>
      <w:gridCol w:w="425"/>
    </w:tblGrid>
    <w:tr>
      <w:tblPrEx>
        <w:tblBorders>
          <w:top w:val="single" w:color="8E8E8D" w:themeColor="text2" w:themeTint="99"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464" w:type="dxa"/>
          <w:tcBorders>
            <w:top w:val="single" w:color="91A7C3" w:themeColor="accent6" w:themeTint="99" w:sz="12" w:space="0"/>
          </w:tcBorders>
          <w:vAlign w:val="bottom"/>
        </w:tcPr>
        <w:p>
          <w:pPr>
            <w:pStyle w:val="7"/>
            <w:jc w:val="center"/>
            <w:rPr>
              <w:rFonts w:ascii="宋体" w:hAnsi="宋体" w:eastAsia="宋体"/>
              <w:sz w:val="24"/>
              <w:szCs w:val="24"/>
            </w:rPr>
          </w:pPr>
          <w:r>
            <w:rPr>
              <w:rFonts w:hint="eastAsia" w:ascii="宋体" w:hAnsi="宋体" w:eastAsia="宋体"/>
              <w:sz w:val="24"/>
              <w:szCs w:val="24"/>
            </w:rPr>
            <w:t xml:space="preserve">    </w:t>
          </w:r>
          <w:r>
            <w:rPr>
              <w:rFonts w:hint="eastAsia" w:ascii="微软雅黑" w:hAnsi="微软雅黑" w:eastAsia="微软雅黑" w:cs="微软雅黑"/>
              <w:sz w:val="24"/>
              <w:szCs w:val="24"/>
            </w:rPr>
            <w:t xml:space="preserve"> 管理风险    创造财富</w:t>
          </w:r>
        </w:p>
      </w:tc>
      <w:tc>
        <w:tcPr>
          <w:tcW w:w="425" w:type="dxa"/>
          <w:tcBorders>
            <w:top w:val="single" w:color="91A7C3" w:themeColor="accent6" w:themeTint="99" w:sz="12" w:space="0"/>
          </w:tcBorders>
        </w:tcPr>
        <w:p>
          <w:pPr>
            <w:pStyle w:val="7"/>
            <w:rPr>
              <w:sz w:val="24"/>
            </w:rPr>
          </w:pPr>
          <w:r>
            <w:rPr>
              <w:sz w:val="24"/>
            </w:rPr>
            <w:fldChar w:fldCharType="begin"/>
          </w:r>
          <w:r>
            <w:rPr>
              <w:sz w:val="24"/>
            </w:rPr>
            <w:instrText xml:space="preserve">PAGE   \* MERGEFORMAT</w:instrText>
          </w:r>
          <w:r>
            <w:rPr>
              <w:sz w:val="24"/>
            </w:rPr>
            <w:fldChar w:fldCharType="separate"/>
          </w:r>
          <w:r>
            <w:rPr>
              <w:sz w:val="24"/>
              <w:lang w:val="zh-CN"/>
            </w:rPr>
            <w:t>1</w:t>
          </w:r>
          <w:r>
            <w:rPr>
              <w:sz w:val="24"/>
            </w:rPr>
            <w:fldChar w:fldCharType="end"/>
          </w:r>
        </w:p>
      </w:tc>
    </w:tr>
    <w:tr>
      <w:tblPrEx>
        <w:tblBorders>
          <w:top w:val="single" w:color="8E8E8D" w:themeColor="text2" w:themeTint="99"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464" w:type="dxa"/>
          <w:tcBorders>
            <w:top w:val="nil"/>
          </w:tcBorders>
        </w:tcPr>
        <w:p>
          <w:pPr>
            <w:pStyle w:val="7"/>
            <w:jc w:val="center"/>
            <w:rPr>
              <w:rFonts w:ascii="华文楷体" w:hAnsi="华文楷体" w:eastAsia="华文楷体"/>
              <w:sz w:val="8"/>
              <w:szCs w:val="24"/>
            </w:rPr>
          </w:pPr>
          <w:r>
            <w:rPr>
              <w:rFonts w:hint="eastAsia" w:ascii="华文楷体" w:hAnsi="华文楷体" w:eastAsia="华文楷体"/>
              <w:sz w:val="24"/>
              <w:szCs w:val="24"/>
            </w:rPr>
            <w:t xml:space="preserve">   </w:t>
          </w:r>
        </w:p>
      </w:tc>
      <w:tc>
        <w:tcPr>
          <w:tcW w:w="425" w:type="dxa"/>
          <w:tcBorders>
            <w:top w:val="nil"/>
          </w:tcBorders>
        </w:tcPr>
        <w:p>
          <w:pPr>
            <w:pStyle w:val="7"/>
          </w:pPr>
        </w:p>
      </w:tc>
    </w:tr>
    <w:tr>
      <w:tblPrEx>
        <w:tblBorders>
          <w:top w:val="single" w:color="8E8E8D" w:themeColor="text2" w:themeTint="99" w:sz="1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89" w:type="dxa"/>
          <w:gridSpan w:val="2"/>
          <w:tcBorders>
            <w:top w:val="nil"/>
          </w:tcBorders>
        </w:tcPr>
        <w:p>
          <w:pPr>
            <w:pStyle w:val="7"/>
            <w:jc w:val="right"/>
          </w:pPr>
          <w:r>
            <w:rPr>
              <w:rFonts w:hint="eastAsia"/>
            </w:rPr>
            <w:t>请仔细阅读正文后的免责声明</w:t>
          </w:r>
        </w:p>
      </w:tc>
    </w:tr>
  </w:tbl>
  <w:p>
    <w:pPr>
      <w:pStyle w:val="7"/>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pPr w:leftFromText="180" w:rightFromText="180" w:vertAnchor="text" w:tblpY="1"/>
      <w:tblOverlap w:val="never"/>
      <w:tblW w:w="98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84"/>
      <w:gridCol w:w="4904"/>
      <w:gridCol w:w="1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5" w:hRule="atLeast"/>
      </w:trPr>
      <w:tc>
        <w:tcPr>
          <w:tcW w:w="3284" w:type="dxa"/>
          <w:vAlign w:val="bottom"/>
        </w:tcPr>
        <w:p>
          <w:pPr>
            <w:pStyle w:val="8"/>
            <w:pBdr>
              <w:bottom w:val="none" w:color="auto" w:sz="0" w:space="0"/>
            </w:pBdr>
            <w:tabs>
              <w:tab w:val="clear" w:pos="8306"/>
            </w:tabs>
            <w:jc w:val="both"/>
            <w:rPr>
              <w:rFonts w:hint="eastAsia" w:eastAsiaTheme="minorEastAsia"/>
              <w:lang w:eastAsia="zh-CN"/>
            </w:rPr>
          </w:pPr>
          <w:r>
            <w:rPr>
              <w:rFonts w:hint="eastAsia" w:eastAsiaTheme="minorEastAsia"/>
              <w:lang w:eastAsia="zh-CN"/>
            </w:rPr>
            <w:drawing>
              <wp:inline distT="0" distB="0" distL="114300" distR="114300">
                <wp:extent cx="1376045" cy="487045"/>
                <wp:effectExtent l="0" t="0" r="14605" b="8255"/>
                <wp:docPr id="3" name="图片 3" descr="165656471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6564712746"/>
                        <pic:cNvPicPr>
                          <a:picLocks noChangeAspect="1"/>
                        </pic:cNvPicPr>
                      </pic:nvPicPr>
                      <pic:blipFill>
                        <a:blip r:embed="rId1"/>
                        <a:stretch>
                          <a:fillRect/>
                        </a:stretch>
                      </pic:blipFill>
                      <pic:spPr>
                        <a:xfrm>
                          <a:off x="0" y="0"/>
                          <a:ext cx="1376045" cy="487045"/>
                        </a:xfrm>
                        <a:prstGeom prst="rect">
                          <a:avLst/>
                        </a:prstGeom>
                      </pic:spPr>
                    </pic:pic>
                  </a:graphicData>
                </a:graphic>
              </wp:inline>
            </w:drawing>
          </w:r>
        </w:p>
      </w:tc>
      <w:tc>
        <w:tcPr>
          <w:tcW w:w="4904" w:type="dxa"/>
          <w:vAlign w:val="bottom"/>
        </w:tcPr>
        <w:p>
          <w:pPr>
            <w:pStyle w:val="8"/>
            <w:pBdr>
              <w:bottom w:val="none" w:color="auto" w:sz="0" w:space="0"/>
            </w:pBdr>
            <w:tabs>
              <w:tab w:val="clear" w:pos="8306"/>
            </w:tabs>
          </w:pPr>
        </w:p>
      </w:tc>
      <w:tc>
        <w:tcPr>
          <w:tcW w:w="1666" w:type="dxa"/>
          <w:vAlign w:val="bottom"/>
        </w:tcPr>
        <w:p>
          <w:pPr>
            <w:pStyle w:val="8"/>
            <w:pBdr>
              <w:bottom w:val="none" w:color="auto" w:sz="0" w:space="0"/>
            </w:pBdr>
            <w:tabs>
              <w:tab w:val="clear" w:pos="8306"/>
            </w:tabs>
            <w:jc w:val="right"/>
          </w:pPr>
          <w:sdt>
            <w:sdtPr>
              <w:rPr>
                <w:rFonts w:cs="Times New Roman" w:asciiTheme="minorEastAsia" w:hAnsiTheme="minorEastAsia"/>
                <w:b/>
                <w:sz w:val="24"/>
                <w:szCs w:val="24"/>
              </w:rPr>
              <w:alias w:val="标题"/>
              <w:id w:val="1296570235"/>
              <w:placeholder>
                <w:docPart w:val="6291E4604806466D8AB4A80AD4DE7A0D"/>
              </w:placeholder>
              <w:text/>
            </w:sdtPr>
            <w:sdtEndPr>
              <w:rPr>
                <w:rFonts w:hint="eastAsia" w:ascii="微软雅黑" w:hAnsi="微软雅黑" w:eastAsia="微软雅黑" w:cs="微软雅黑"/>
                <w:b/>
                <w:color w:val="7F7F7F" w:themeColor="background1" w:themeShade="80"/>
                <w:sz w:val="24"/>
                <w:szCs w:val="24"/>
              </w:rPr>
            </w:sdtEndPr>
            <w:sdtContent>
              <w:r>
                <w:rPr>
                  <w:rFonts w:hint="eastAsia" w:ascii="微软雅黑" w:hAnsi="微软雅黑" w:eastAsia="微软雅黑" w:cs="微软雅黑"/>
                  <w:b/>
                  <w:color w:val="7F7F7F" w:themeColor="background1" w:themeShade="80"/>
                  <w:sz w:val="24"/>
                  <w:szCs w:val="24"/>
                  <w:lang w:val="en-US" w:eastAsia="zh-CN"/>
                </w:rPr>
                <w:t>研究报告</w:t>
              </w:r>
            </w:sdtContent>
          </w:sdt>
        </w:p>
      </w:tc>
    </w:tr>
  </w:tbl>
  <w:p>
    <w:pPr>
      <w:pStyle w:val="8"/>
      <w:pBdr>
        <w:bottom w:val="single" w:color="91A7C3" w:themeColor="accent6" w:themeTint="99" w:sz="12" w:space="18"/>
      </w:pBdr>
      <w:tabs>
        <w:tab w:val="clear" w:pos="8306"/>
      </w:tabs>
      <w:jc w:val="left"/>
    </w:pPr>
  </w:p>
  <w:p>
    <w:pPr>
      <w:widowControl w:val="0"/>
      <w:pBdr>
        <w:top w:val="none" w:color="auto" w:sz="0" w:space="1"/>
        <w:left w:val="none" w:color="auto" w:sz="0" w:space="4"/>
        <w:bottom w:val="none" w:color="auto" w:sz="0" w:space="1"/>
        <w:right w:val="none" w:color="auto" w:sz="0" w:space="4"/>
        <w:between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2961012" o:spid="_x0000_s3073" o:spt="75" type="#_x0000_t75" style="position:absolute;left:0pt;height:206pt;width:206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公司logo"/>
          <o:lock v:ext="edit" aspectratio="t"/>
        </v:shape>
      </w:pic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pPr w:leftFromText="180" w:rightFromText="180" w:vertAnchor="text" w:tblpX="6987" w:tblpY="1"/>
      <w:tblOverlap w:val="never"/>
      <w:tblW w:w="29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0" w:hRule="atLeast"/>
      </w:trPr>
      <w:tc>
        <w:tcPr>
          <w:tcW w:w="2976" w:type="dxa"/>
          <w:vAlign w:val="center"/>
        </w:tcPr>
        <w:p>
          <w:pPr>
            <w:pStyle w:val="8"/>
            <w:pBdr>
              <w:bottom w:val="none" w:color="auto" w:sz="0" w:space="0"/>
            </w:pBdr>
            <w:tabs>
              <w:tab w:val="clear" w:pos="8306"/>
            </w:tabs>
            <w:ind w:firstLine="1281" w:firstLineChars="400"/>
            <w:jc w:val="both"/>
            <w:rPr>
              <w:rFonts w:hint="default" w:ascii="微软雅黑" w:hAnsi="微软雅黑" w:eastAsia="微软雅黑" w:cs="微软雅黑"/>
              <w:b/>
              <w:color w:val="7F7F7F" w:themeColor="background1" w:themeShade="80"/>
              <w:sz w:val="32"/>
              <w:szCs w:val="32"/>
              <w:lang w:val="en-US" w:eastAsia="zh-CN"/>
            </w:rPr>
          </w:pPr>
          <w:r>
            <w:rPr>
              <w:rFonts w:hint="eastAsia" w:ascii="微软雅黑" w:hAnsi="微软雅黑" w:eastAsia="微软雅黑" w:cs="微软雅黑"/>
              <w:b/>
              <w:color w:val="7F7F7F" w:themeColor="background1" w:themeShade="80"/>
              <w:sz w:val="32"/>
              <w:szCs w:val="32"/>
              <w:lang w:val="en-US" w:eastAsia="zh-CN"/>
            </w:rPr>
            <w:t>研究报告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4" w:hRule="atLeast"/>
      </w:trPr>
      <w:tc>
        <w:tcPr>
          <w:tcW w:w="2976" w:type="dxa"/>
          <w:vAlign w:val="center"/>
        </w:tcPr>
        <w:p>
          <w:pPr>
            <w:pStyle w:val="8"/>
            <w:pBdr>
              <w:bottom w:val="none" w:color="auto" w:sz="0" w:space="0"/>
            </w:pBdr>
            <w:tabs>
              <w:tab w:val="clear" w:pos="8306"/>
            </w:tabs>
            <w:rPr>
              <w:rFonts w:asciiTheme="minorEastAsia" w:hAnsiTheme="minorEastAsia"/>
              <w:b/>
              <w:sz w:val="21"/>
              <w:szCs w:val="21"/>
            </w:rPr>
          </w:pPr>
        </w:p>
      </w:tc>
    </w:tr>
  </w:tbl>
  <w:p>
    <w:pPr>
      <w:pStyle w:val="8"/>
      <w:widowControl w:val="0"/>
      <w:pBdr>
        <w:top w:val="none" w:color="auto" w:sz="0" w:space="1"/>
        <w:left w:val="none" w:color="auto" w:sz="0" w:space="4"/>
        <w:bottom w:val="none" w:color="808080" w:sz="0" w:space="0"/>
        <w:right w:val="none" w:color="auto" w:sz="0" w:space="4"/>
        <w:between w:val="none" w:color="auto" w:sz="0" w:space="0"/>
      </w:pBdr>
      <w:snapToGrid w:val="0"/>
      <w:jc w:val="left"/>
      <w:rPr>
        <w:rFonts w:hint="eastAsia" w:eastAsiaTheme="minorEastAsia"/>
        <w:lang w:eastAsia="zh-CN"/>
      </w:rPr>
    </w:pPr>
    <w:r>
      <w:rPr>
        <w:rFonts w:hint="eastAsia" w:eastAsiaTheme="minorEastAsia"/>
        <w:lang w:eastAsia="zh-CN"/>
      </w:rPr>
      <w:drawing>
        <wp:inline distT="0" distB="0" distL="114300" distR="114300">
          <wp:extent cx="1889125" cy="608330"/>
          <wp:effectExtent l="0" t="0" r="15875" b="1270"/>
          <wp:docPr id="2" name="图片 2" descr="165656471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6564712746"/>
                  <pic:cNvPicPr>
                    <a:picLocks noChangeAspect="1"/>
                  </pic:cNvPicPr>
                </pic:nvPicPr>
                <pic:blipFill>
                  <a:blip r:embed="rId1"/>
                  <a:srcRect t="4521" b="4521"/>
                  <a:stretch>
                    <a:fillRect/>
                  </a:stretch>
                </pic:blipFill>
                <pic:spPr>
                  <a:xfrm>
                    <a:off x="0" y="0"/>
                    <a:ext cx="1889125" cy="608330"/>
                  </a:xfrm>
                  <a:prstGeom prst="rect">
                    <a:avLst/>
                  </a:prstGeom>
                </pic:spPr>
              </pic:pic>
            </a:graphicData>
          </a:graphic>
        </wp:inline>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123">
    <w15:presenceInfo w15:providerId="None" w15:userId="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kMDMyYWNhMTE3YzhhODQxYjE5M2JiMzM5MjZjNzMifQ=="/>
  </w:docVars>
  <w:rsids>
    <w:rsidRoot w:val="00FD6707"/>
    <w:rsid w:val="00000171"/>
    <w:rsid w:val="0000084E"/>
    <w:rsid w:val="000009EC"/>
    <w:rsid w:val="00000AD9"/>
    <w:rsid w:val="0000331D"/>
    <w:rsid w:val="000033D2"/>
    <w:rsid w:val="0000493D"/>
    <w:rsid w:val="00004FA9"/>
    <w:rsid w:val="000101E2"/>
    <w:rsid w:val="000102D7"/>
    <w:rsid w:val="000103BF"/>
    <w:rsid w:val="00010768"/>
    <w:rsid w:val="00010FFF"/>
    <w:rsid w:val="00013762"/>
    <w:rsid w:val="000138BB"/>
    <w:rsid w:val="00016ECB"/>
    <w:rsid w:val="00017405"/>
    <w:rsid w:val="00017B08"/>
    <w:rsid w:val="00017F8A"/>
    <w:rsid w:val="000216A7"/>
    <w:rsid w:val="00021DCE"/>
    <w:rsid w:val="00021E3A"/>
    <w:rsid w:val="000247E0"/>
    <w:rsid w:val="00027B92"/>
    <w:rsid w:val="00034D27"/>
    <w:rsid w:val="0003586C"/>
    <w:rsid w:val="0003767A"/>
    <w:rsid w:val="00040993"/>
    <w:rsid w:val="00045361"/>
    <w:rsid w:val="00045C18"/>
    <w:rsid w:val="0004600C"/>
    <w:rsid w:val="00046900"/>
    <w:rsid w:val="00047FD1"/>
    <w:rsid w:val="00051617"/>
    <w:rsid w:val="00051710"/>
    <w:rsid w:val="000555A8"/>
    <w:rsid w:val="00055943"/>
    <w:rsid w:val="000559C6"/>
    <w:rsid w:val="00055BDD"/>
    <w:rsid w:val="00056464"/>
    <w:rsid w:val="0005738E"/>
    <w:rsid w:val="00061B9B"/>
    <w:rsid w:val="0006246A"/>
    <w:rsid w:val="00062A4E"/>
    <w:rsid w:val="0006430C"/>
    <w:rsid w:val="00064548"/>
    <w:rsid w:val="000659BA"/>
    <w:rsid w:val="000659F6"/>
    <w:rsid w:val="000714EE"/>
    <w:rsid w:val="000753E8"/>
    <w:rsid w:val="00075F4A"/>
    <w:rsid w:val="0008093C"/>
    <w:rsid w:val="00080E20"/>
    <w:rsid w:val="00083A0B"/>
    <w:rsid w:val="00083A1B"/>
    <w:rsid w:val="00083C4C"/>
    <w:rsid w:val="00083E9A"/>
    <w:rsid w:val="000844AA"/>
    <w:rsid w:val="0008574E"/>
    <w:rsid w:val="00085E29"/>
    <w:rsid w:val="00086514"/>
    <w:rsid w:val="000875E6"/>
    <w:rsid w:val="00087ACA"/>
    <w:rsid w:val="00087C91"/>
    <w:rsid w:val="00087EE5"/>
    <w:rsid w:val="00087F31"/>
    <w:rsid w:val="00090DDD"/>
    <w:rsid w:val="00090EE0"/>
    <w:rsid w:val="0009130D"/>
    <w:rsid w:val="000919D8"/>
    <w:rsid w:val="00091BAC"/>
    <w:rsid w:val="00094122"/>
    <w:rsid w:val="00095762"/>
    <w:rsid w:val="00095C8C"/>
    <w:rsid w:val="00096C7B"/>
    <w:rsid w:val="000A190C"/>
    <w:rsid w:val="000A3F18"/>
    <w:rsid w:val="000A5CFE"/>
    <w:rsid w:val="000A6566"/>
    <w:rsid w:val="000A6DF6"/>
    <w:rsid w:val="000A71B8"/>
    <w:rsid w:val="000A72C5"/>
    <w:rsid w:val="000A7394"/>
    <w:rsid w:val="000A7CB8"/>
    <w:rsid w:val="000B0FD3"/>
    <w:rsid w:val="000B2104"/>
    <w:rsid w:val="000B4FAB"/>
    <w:rsid w:val="000B5349"/>
    <w:rsid w:val="000B5BE5"/>
    <w:rsid w:val="000B721A"/>
    <w:rsid w:val="000B7D8B"/>
    <w:rsid w:val="000C0582"/>
    <w:rsid w:val="000C0760"/>
    <w:rsid w:val="000C1592"/>
    <w:rsid w:val="000C1BE8"/>
    <w:rsid w:val="000C5483"/>
    <w:rsid w:val="000C5B13"/>
    <w:rsid w:val="000C5B19"/>
    <w:rsid w:val="000C7139"/>
    <w:rsid w:val="000D1A91"/>
    <w:rsid w:val="000D1C61"/>
    <w:rsid w:val="000D251D"/>
    <w:rsid w:val="000D26DB"/>
    <w:rsid w:val="000D2771"/>
    <w:rsid w:val="000D3035"/>
    <w:rsid w:val="000D5980"/>
    <w:rsid w:val="000D59F8"/>
    <w:rsid w:val="000D620E"/>
    <w:rsid w:val="000E247F"/>
    <w:rsid w:val="000E2F29"/>
    <w:rsid w:val="000E3461"/>
    <w:rsid w:val="000E585A"/>
    <w:rsid w:val="000E64A9"/>
    <w:rsid w:val="000E651E"/>
    <w:rsid w:val="000F0300"/>
    <w:rsid w:val="000F10A5"/>
    <w:rsid w:val="000F1A48"/>
    <w:rsid w:val="000F1BF1"/>
    <w:rsid w:val="000F281F"/>
    <w:rsid w:val="000F2CFE"/>
    <w:rsid w:val="000F576F"/>
    <w:rsid w:val="000F5F08"/>
    <w:rsid w:val="000F7B92"/>
    <w:rsid w:val="0010102B"/>
    <w:rsid w:val="00101FA7"/>
    <w:rsid w:val="001021E7"/>
    <w:rsid w:val="00103DF2"/>
    <w:rsid w:val="00105EC3"/>
    <w:rsid w:val="0011144B"/>
    <w:rsid w:val="00111A4D"/>
    <w:rsid w:val="0011231B"/>
    <w:rsid w:val="001125D7"/>
    <w:rsid w:val="00114378"/>
    <w:rsid w:val="00115227"/>
    <w:rsid w:val="0011594B"/>
    <w:rsid w:val="00116792"/>
    <w:rsid w:val="00117EC4"/>
    <w:rsid w:val="00117F5F"/>
    <w:rsid w:val="00117FDA"/>
    <w:rsid w:val="001232DB"/>
    <w:rsid w:val="00123A7E"/>
    <w:rsid w:val="00123C4E"/>
    <w:rsid w:val="00126C89"/>
    <w:rsid w:val="00127A08"/>
    <w:rsid w:val="00127A89"/>
    <w:rsid w:val="001307E9"/>
    <w:rsid w:val="00130DDC"/>
    <w:rsid w:val="00132ACC"/>
    <w:rsid w:val="00133378"/>
    <w:rsid w:val="001356FC"/>
    <w:rsid w:val="00135773"/>
    <w:rsid w:val="00137F56"/>
    <w:rsid w:val="00142844"/>
    <w:rsid w:val="00142FA6"/>
    <w:rsid w:val="0014344A"/>
    <w:rsid w:val="00145BC8"/>
    <w:rsid w:val="00146C2C"/>
    <w:rsid w:val="001477F1"/>
    <w:rsid w:val="00147BA0"/>
    <w:rsid w:val="001507DC"/>
    <w:rsid w:val="00150B28"/>
    <w:rsid w:val="001511C7"/>
    <w:rsid w:val="00151DF5"/>
    <w:rsid w:val="00152DC2"/>
    <w:rsid w:val="001530DD"/>
    <w:rsid w:val="00153AD2"/>
    <w:rsid w:val="0015423A"/>
    <w:rsid w:val="00154763"/>
    <w:rsid w:val="0015663F"/>
    <w:rsid w:val="001567C0"/>
    <w:rsid w:val="00156CB5"/>
    <w:rsid w:val="00157DDF"/>
    <w:rsid w:val="00161DBA"/>
    <w:rsid w:val="00163323"/>
    <w:rsid w:val="00164A26"/>
    <w:rsid w:val="00164BCE"/>
    <w:rsid w:val="0016796C"/>
    <w:rsid w:val="001707A7"/>
    <w:rsid w:val="00173914"/>
    <w:rsid w:val="001739BA"/>
    <w:rsid w:val="00173D03"/>
    <w:rsid w:val="00175B43"/>
    <w:rsid w:val="00175F26"/>
    <w:rsid w:val="0017606A"/>
    <w:rsid w:val="0017637A"/>
    <w:rsid w:val="00176AFE"/>
    <w:rsid w:val="00177D76"/>
    <w:rsid w:val="00177E13"/>
    <w:rsid w:val="00180257"/>
    <w:rsid w:val="00182037"/>
    <w:rsid w:val="00182B11"/>
    <w:rsid w:val="0018334B"/>
    <w:rsid w:val="00183A05"/>
    <w:rsid w:val="001845D1"/>
    <w:rsid w:val="00186CCA"/>
    <w:rsid w:val="0019086C"/>
    <w:rsid w:val="001923B5"/>
    <w:rsid w:val="0019434D"/>
    <w:rsid w:val="00195087"/>
    <w:rsid w:val="001A2500"/>
    <w:rsid w:val="001A65B9"/>
    <w:rsid w:val="001A7BD9"/>
    <w:rsid w:val="001B104F"/>
    <w:rsid w:val="001B1D43"/>
    <w:rsid w:val="001B3542"/>
    <w:rsid w:val="001B394F"/>
    <w:rsid w:val="001B471B"/>
    <w:rsid w:val="001B55D2"/>
    <w:rsid w:val="001B5B8D"/>
    <w:rsid w:val="001C0BDE"/>
    <w:rsid w:val="001C285E"/>
    <w:rsid w:val="001C354E"/>
    <w:rsid w:val="001C35C7"/>
    <w:rsid w:val="001C434A"/>
    <w:rsid w:val="001C48CB"/>
    <w:rsid w:val="001C680A"/>
    <w:rsid w:val="001D05D0"/>
    <w:rsid w:val="001D1522"/>
    <w:rsid w:val="001D5125"/>
    <w:rsid w:val="001D5834"/>
    <w:rsid w:val="001D584D"/>
    <w:rsid w:val="001D72FD"/>
    <w:rsid w:val="001E384B"/>
    <w:rsid w:val="001E4E69"/>
    <w:rsid w:val="001E6F6F"/>
    <w:rsid w:val="001F153F"/>
    <w:rsid w:val="001F45AF"/>
    <w:rsid w:val="001F63EB"/>
    <w:rsid w:val="001F69B8"/>
    <w:rsid w:val="001F6A13"/>
    <w:rsid w:val="001F6FF1"/>
    <w:rsid w:val="0020114B"/>
    <w:rsid w:val="00201D71"/>
    <w:rsid w:val="00202524"/>
    <w:rsid w:val="00204247"/>
    <w:rsid w:val="002066EE"/>
    <w:rsid w:val="00207D2C"/>
    <w:rsid w:val="00210858"/>
    <w:rsid w:val="00212B96"/>
    <w:rsid w:val="00212C24"/>
    <w:rsid w:val="002130E1"/>
    <w:rsid w:val="00214112"/>
    <w:rsid w:val="002152C0"/>
    <w:rsid w:val="00216BAD"/>
    <w:rsid w:val="0021767D"/>
    <w:rsid w:val="00217D02"/>
    <w:rsid w:val="00224493"/>
    <w:rsid w:val="002323A6"/>
    <w:rsid w:val="00232B2B"/>
    <w:rsid w:val="0023329B"/>
    <w:rsid w:val="00234BF7"/>
    <w:rsid w:val="002350D2"/>
    <w:rsid w:val="00236927"/>
    <w:rsid w:val="00243547"/>
    <w:rsid w:val="002445C4"/>
    <w:rsid w:val="0024556D"/>
    <w:rsid w:val="00245AAE"/>
    <w:rsid w:val="0025266D"/>
    <w:rsid w:val="00252DC1"/>
    <w:rsid w:val="0025369D"/>
    <w:rsid w:val="002550F6"/>
    <w:rsid w:val="002556E9"/>
    <w:rsid w:val="00255874"/>
    <w:rsid w:val="00256391"/>
    <w:rsid w:val="0025663A"/>
    <w:rsid w:val="00257F69"/>
    <w:rsid w:val="002616D2"/>
    <w:rsid w:val="002629D0"/>
    <w:rsid w:val="0026500E"/>
    <w:rsid w:val="00265A07"/>
    <w:rsid w:val="00266796"/>
    <w:rsid w:val="002703F1"/>
    <w:rsid w:val="00271560"/>
    <w:rsid w:val="00273D80"/>
    <w:rsid w:val="00273D9E"/>
    <w:rsid w:val="00274C0E"/>
    <w:rsid w:val="00275804"/>
    <w:rsid w:val="00276CE5"/>
    <w:rsid w:val="002778CC"/>
    <w:rsid w:val="00280171"/>
    <w:rsid w:val="00281016"/>
    <w:rsid w:val="002812FE"/>
    <w:rsid w:val="002814C6"/>
    <w:rsid w:val="0028201E"/>
    <w:rsid w:val="0028224D"/>
    <w:rsid w:val="002824AC"/>
    <w:rsid w:val="00282726"/>
    <w:rsid w:val="002835F0"/>
    <w:rsid w:val="002837D2"/>
    <w:rsid w:val="002852B5"/>
    <w:rsid w:val="00287C61"/>
    <w:rsid w:val="00292193"/>
    <w:rsid w:val="00293704"/>
    <w:rsid w:val="0029383B"/>
    <w:rsid w:val="00296E3E"/>
    <w:rsid w:val="00297548"/>
    <w:rsid w:val="002A407E"/>
    <w:rsid w:val="002A40D9"/>
    <w:rsid w:val="002A4943"/>
    <w:rsid w:val="002A4CBD"/>
    <w:rsid w:val="002A6D26"/>
    <w:rsid w:val="002B0288"/>
    <w:rsid w:val="002B067F"/>
    <w:rsid w:val="002B0C05"/>
    <w:rsid w:val="002B0DA3"/>
    <w:rsid w:val="002B0F55"/>
    <w:rsid w:val="002B1720"/>
    <w:rsid w:val="002B4811"/>
    <w:rsid w:val="002B5115"/>
    <w:rsid w:val="002B726D"/>
    <w:rsid w:val="002C09D6"/>
    <w:rsid w:val="002C1B4D"/>
    <w:rsid w:val="002C23BC"/>
    <w:rsid w:val="002C2637"/>
    <w:rsid w:val="002C2768"/>
    <w:rsid w:val="002C37CA"/>
    <w:rsid w:val="002C4B10"/>
    <w:rsid w:val="002D2E94"/>
    <w:rsid w:val="002D7854"/>
    <w:rsid w:val="002E0BBB"/>
    <w:rsid w:val="002E16E9"/>
    <w:rsid w:val="002E1CCC"/>
    <w:rsid w:val="002E40B3"/>
    <w:rsid w:val="002E4C4D"/>
    <w:rsid w:val="002E4E34"/>
    <w:rsid w:val="002E4E93"/>
    <w:rsid w:val="002E53CF"/>
    <w:rsid w:val="002E72C6"/>
    <w:rsid w:val="002E7652"/>
    <w:rsid w:val="002E786B"/>
    <w:rsid w:val="002F2945"/>
    <w:rsid w:val="002F632F"/>
    <w:rsid w:val="003008FF"/>
    <w:rsid w:val="00300FB3"/>
    <w:rsid w:val="00301C86"/>
    <w:rsid w:val="00301EEC"/>
    <w:rsid w:val="00302139"/>
    <w:rsid w:val="003033D2"/>
    <w:rsid w:val="0030482F"/>
    <w:rsid w:val="003049AE"/>
    <w:rsid w:val="00304D1E"/>
    <w:rsid w:val="003050CF"/>
    <w:rsid w:val="00305702"/>
    <w:rsid w:val="00306451"/>
    <w:rsid w:val="00306465"/>
    <w:rsid w:val="00306740"/>
    <w:rsid w:val="00306C59"/>
    <w:rsid w:val="00306D40"/>
    <w:rsid w:val="00311E46"/>
    <w:rsid w:val="0031221F"/>
    <w:rsid w:val="003123F5"/>
    <w:rsid w:val="00314F76"/>
    <w:rsid w:val="00315514"/>
    <w:rsid w:val="00316251"/>
    <w:rsid w:val="00316384"/>
    <w:rsid w:val="003216A4"/>
    <w:rsid w:val="00322B57"/>
    <w:rsid w:val="00326B46"/>
    <w:rsid w:val="00327B49"/>
    <w:rsid w:val="003307A7"/>
    <w:rsid w:val="003346B8"/>
    <w:rsid w:val="00335364"/>
    <w:rsid w:val="00335546"/>
    <w:rsid w:val="003372DF"/>
    <w:rsid w:val="00340662"/>
    <w:rsid w:val="0034162D"/>
    <w:rsid w:val="00343070"/>
    <w:rsid w:val="00343E31"/>
    <w:rsid w:val="003449A9"/>
    <w:rsid w:val="003453D9"/>
    <w:rsid w:val="0034614D"/>
    <w:rsid w:val="003474A4"/>
    <w:rsid w:val="00347F14"/>
    <w:rsid w:val="00352961"/>
    <w:rsid w:val="00352B94"/>
    <w:rsid w:val="00352BED"/>
    <w:rsid w:val="00354FD5"/>
    <w:rsid w:val="00356EF9"/>
    <w:rsid w:val="00360D00"/>
    <w:rsid w:val="00360DC1"/>
    <w:rsid w:val="0036224A"/>
    <w:rsid w:val="0036258B"/>
    <w:rsid w:val="00362AA4"/>
    <w:rsid w:val="0036391C"/>
    <w:rsid w:val="00364219"/>
    <w:rsid w:val="003656A9"/>
    <w:rsid w:val="003710EA"/>
    <w:rsid w:val="003741C2"/>
    <w:rsid w:val="00374D1B"/>
    <w:rsid w:val="00375F7D"/>
    <w:rsid w:val="00377BF1"/>
    <w:rsid w:val="00377D2C"/>
    <w:rsid w:val="0038032E"/>
    <w:rsid w:val="0038088C"/>
    <w:rsid w:val="00384D6B"/>
    <w:rsid w:val="003861E9"/>
    <w:rsid w:val="00386CC7"/>
    <w:rsid w:val="00387761"/>
    <w:rsid w:val="00390A70"/>
    <w:rsid w:val="00390E68"/>
    <w:rsid w:val="0039144B"/>
    <w:rsid w:val="003917D6"/>
    <w:rsid w:val="00393935"/>
    <w:rsid w:val="00393F73"/>
    <w:rsid w:val="00395ED3"/>
    <w:rsid w:val="003A0625"/>
    <w:rsid w:val="003A07A9"/>
    <w:rsid w:val="003A0BB1"/>
    <w:rsid w:val="003A0E24"/>
    <w:rsid w:val="003A30C1"/>
    <w:rsid w:val="003A36A7"/>
    <w:rsid w:val="003A4660"/>
    <w:rsid w:val="003A467F"/>
    <w:rsid w:val="003A496D"/>
    <w:rsid w:val="003A6B97"/>
    <w:rsid w:val="003A72BC"/>
    <w:rsid w:val="003B0F3D"/>
    <w:rsid w:val="003B2383"/>
    <w:rsid w:val="003C0076"/>
    <w:rsid w:val="003C0813"/>
    <w:rsid w:val="003C0D34"/>
    <w:rsid w:val="003C4CAE"/>
    <w:rsid w:val="003C6689"/>
    <w:rsid w:val="003C6D89"/>
    <w:rsid w:val="003D1E79"/>
    <w:rsid w:val="003D500B"/>
    <w:rsid w:val="003D576C"/>
    <w:rsid w:val="003D5F5D"/>
    <w:rsid w:val="003E0B98"/>
    <w:rsid w:val="003E141F"/>
    <w:rsid w:val="003E3D35"/>
    <w:rsid w:val="003E421B"/>
    <w:rsid w:val="003E4F0E"/>
    <w:rsid w:val="003E79BF"/>
    <w:rsid w:val="003F03BA"/>
    <w:rsid w:val="003F03F5"/>
    <w:rsid w:val="003F1F17"/>
    <w:rsid w:val="003F24D8"/>
    <w:rsid w:val="003F4158"/>
    <w:rsid w:val="003F59CA"/>
    <w:rsid w:val="003F5A6B"/>
    <w:rsid w:val="003F6B69"/>
    <w:rsid w:val="00400C31"/>
    <w:rsid w:val="00403879"/>
    <w:rsid w:val="00405502"/>
    <w:rsid w:val="00412678"/>
    <w:rsid w:val="004128AE"/>
    <w:rsid w:val="004131B5"/>
    <w:rsid w:val="004140B5"/>
    <w:rsid w:val="00414112"/>
    <w:rsid w:val="004151C0"/>
    <w:rsid w:val="00423097"/>
    <w:rsid w:val="00423AD6"/>
    <w:rsid w:val="0042523B"/>
    <w:rsid w:val="00425B4A"/>
    <w:rsid w:val="00426C2B"/>
    <w:rsid w:val="00426C84"/>
    <w:rsid w:val="0042706C"/>
    <w:rsid w:val="00432493"/>
    <w:rsid w:val="0043560E"/>
    <w:rsid w:val="00441812"/>
    <w:rsid w:val="00441BFB"/>
    <w:rsid w:val="0044212A"/>
    <w:rsid w:val="00442CA2"/>
    <w:rsid w:val="00443FE4"/>
    <w:rsid w:val="00444116"/>
    <w:rsid w:val="004441F6"/>
    <w:rsid w:val="00445058"/>
    <w:rsid w:val="00445EBE"/>
    <w:rsid w:val="00446292"/>
    <w:rsid w:val="0044716B"/>
    <w:rsid w:val="004510EB"/>
    <w:rsid w:val="004543BC"/>
    <w:rsid w:val="0045468B"/>
    <w:rsid w:val="004563F8"/>
    <w:rsid w:val="0045673C"/>
    <w:rsid w:val="00462EF6"/>
    <w:rsid w:val="00463E04"/>
    <w:rsid w:val="004649DA"/>
    <w:rsid w:val="0046514B"/>
    <w:rsid w:val="00467D29"/>
    <w:rsid w:val="004715ED"/>
    <w:rsid w:val="004722A0"/>
    <w:rsid w:val="00472FDF"/>
    <w:rsid w:val="00473863"/>
    <w:rsid w:val="00473E05"/>
    <w:rsid w:val="00473E12"/>
    <w:rsid w:val="004758D3"/>
    <w:rsid w:val="00475A47"/>
    <w:rsid w:val="00475F75"/>
    <w:rsid w:val="004768A3"/>
    <w:rsid w:val="004772FE"/>
    <w:rsid w:val="00477308"/>
    <w:rsid w:val="00481FAD"/>
    <w:rsid w:val="00482138"/>
    <w:rsid w:val="00482616"/>
    <w:rsid w:val="00482C6E"/>
    <w:rsid w:val="00483B87"/>
    <w:rsid w:val="004846C4"/>
    <w:rsid w:val="00484C87"/>
    <w:rsid w:val="004854F8"/>
    <w:rsid w:val="004855C0"/>
    <w:rsid w:val="00485B81"/>
    <w:rsid w:val="00485E75"/>
    <w:rsid w:val="0048736F"/>
    <w:rsid w:val="00492F5A"/>
    <w:rsid w:val="0049492E"/>
    <w:rsid w:val="004A0432"/>
    <w:rsid w:val="004A1E0D"/>
    <w:rsid w:val="004A5C3E"/>
    <w:rsid w:val="004A7255"/>
    <w:rsid w:val="004A7B37"/>
    <w:rsid w:val="004A7B91"/>
    <w:rsid w:val="004B1F3A"/>
    <w:rsid w:val="004B3D39"/>
    <w:rsid w:val="004C06F3"/>
    <w:rsid w:val="004C1053"/>
    <w:rsid w:val="004C7551"/>
    <w:rsid w:val="004C7D93"/>
    <w:rsid w:val="004D02E4"/>
    <w:rsid w:val="004D1991"/>
    <w:rsid w:val="004D443B"/>
    <w:rsid w:val="004D5AD5"/>
    <w:rsid w:val="004D7B3B"/>
    <w:rsid w:val="004E28B0"/>
    <w:rsid w:val="004E32AA"/>
    <w:rsid w:val="004E49AD"/>
    <w:rsid w:val="004E5CCD"/>
    <w:rsid w:val="004F1B42"/>
    <w:rsid w:val="004F22C7"/>
    <w:rsid w:val="004F3334"/>
    <w:rsid w:val="004F3E4D"/>
    <w:rsid w:val="004F4960"/>
    <w:rsid w:val="004F50AE"/>
    <w:rsid w:val="004F520C"/>
    <w:rsid w:val="004F5491"/>
    <w:rsid w:val="005002D7"/>
    <w:rsid w:val="00500692"/>
    <w:rsid w:val="00500780"/>
    <w:rsid w:val="00501083"/>
    <w:rsid w:val="005016A7"/>
    <w:rsid w:val="0050376A"/>
    <w:rsid w:val="005047A9"/>
    <w:rsid w:val="00504C20"/>
    <w:rsid w:val="00504C67"/>
    <w:rsid w:val="005053B0"/>
    <w:rsid w:val="0050763F"/>
    <w:rsid w:val="00507962"/>
    <w:rsid w:val="0051283D"/>
    <w:rsid w:val="0051546C"/>
    <w:rsid w:val="00520185"/>
    <w:rsid w:val="005209EE"/>
    <w:rsid w:val="00523A8D"/>
    <w:rsid w:val="00524AC2"/>
    <w:rsid w:val="00525D57"/>
    <w:rsid w:val="0052787D"/>
    <w:rsid w:val="00533624"/>
    <w:rsid w:val="00536739"/>
    <w:rsid w:val="00537A5A"/>
    <w:rsid w:val="0054033E"/>
    <w:rsid w:val="0054056F"/>
    <w:rsid w:val="00541EBA"/>
    <w:rsid w:val="005440A4"/>
    <w:rsid w:val="00544176"/>
    <w:rsid w:val="00552E25"/>
    <w:rsid w:val="0055352F"/>
    <w:rsid w:val="00554D72"/>
    <w:rsid w:val="00556A6F"/>
    <w:rsid w:val="0055781E"/>
    <w:rsid w:val="00560EDF"/>
    <w:rsid w:val="005615B3"/>
    <w:rsid w:val="00561B1B"/>
    <w:rsid w:val="00564EBF"/>
    <w:rsid w:val="00567B2B"/>
    <w:rsid w:val="005721DE"/>
    <w:rsid w:val="0057298F"/>
    <w:rsid w:val="00572FBD"/>
    <w:rsid w:val="005734E2"/>
    <w:rsid w:val="005738B8"/>
    <w:rsid w:val="005743CD"/>
    <w:rsid w:val="00574864"/>
    <w:rsid w:val="005750A2"/>
    <w:rsid w:val="005805EA"/>
    <w:rsid w:val="005809FB"/>
    <w:rsid w:val="00582105"/>
    <w:rsid w:val="005822F3"/>
    <w:rsid w:val="005824E4"/>
    <w:rsid w:val="00586368"/>
    <w:rsid w:val="005863C4"/>
    <w:rsid w:val="00590329"/>
    <w:rsid w:val="00590A7D"/>
    <w:rsid w:val="005929EB"/>
    <w:rsid w:val="005936BA"/>
    <w:rsid w:val="005936D5"/>
    <w:rsid w:val="00595177"/>
    <w:rsid w:val="00595C7D"/>
    <w:rsid w:val="00595DE9"/>
    <w:rsid w:val="00596F7B"/>
    <w:rsid w:val="005A0FB0"/>
    <w:rsid w:val="005A3E0C"/>
    <w:rsid w:val="005A68D9"/>
    <w:rsid w:val="005A694A"/>
    <w:rsid w:val="005A72F4"/>
    <w:rsid w:val="005A7496"/>
    <w:rsid w:val="005B33B9"/>
    <w:rsid w:val="005B3623"/>
    <w:rsid w:val="005B5530"/>
    <w:rsid w:val="005B583D"/>
    <w:rsid w:val="005B5851"/>
    <w:rsid w:val="005B5DC3"/>
    <w:rsid w:val="005C10B4"/>
    <w:rsid w:val="005C2BEA"/>
    <w:rsid w:val="005C2FF4"/>
    <w:rsid w:val="005C6198"/>
    <w:rsid w:val="005C6932"/>
    <w:rsid w:val="005C78D4"/>
    <w:rsid w:val="005D0119"/>
    <w:rsid w:val="005D2AF2"/>
    <w:rsid w:val="005D32BE"/>
    <w:rsid w:val="005D4A4C"/>
    <w:rsid w:val="005D5FA1"/>
    <w:rsid w:val="005D7357"/>
    <w:rsid w:val="005E1AEC"/>
    <w:rsid w:val="005E22FF"/>
    <w:rsid w:val="005E380A"/>
    <w:rsid w:val="005E4B33"/>
    <w:rsid w:val="005E5A4E"/>
    <w:rsid w:val="005E6AEB"/>
    <w:rsid w:val="005E6B3C"/>
    <w:rsid w:val="005E72C4"/>
    <w:rsid w:val="005F048E"/>
    <w:rsid w:val="005F434F"/>
    <w:rsid w:val="005F4FF2"/>
    <w:rsid w:val="005F55C7"/>
    <w:rsid w:val="005F6869"/>
    <w:rsid w:val="005F75F7"/>
    <w:rsid w:val="0060209E"/>
    <w:rsid w:val="0060444A"/>
    <w:rsid w:val="00606C40"/>
    <w:rsid w:val="006073C1"/>
    <w:rsid w:val="006075EB"/>
    <w:rsid w:val="006102BE"/>
    <w:rsid w:val="006107ED"/>
    <w:rsid w:val="00610B43"/>
    <w:rsid w:val="0061230E"/>
    <w:rsid w:val="00612C1C"/>
    <w:rsid w:val="006148D4"/>
    <w:rsid w:val="00615411"/>
    <w:rsid w:val="00616833"/>
    <w:rsid w:val="006204D4"/>
    <w:rsid w:val="006210D8"/>
    <w:rsid w:val="00622DBD"/>
    <w:rsid w:val="00626F10"/>
    <w:rsid w:val="00627F1C"/>
    <w:rsid w:val="00630386"/>
    <w:rsid w:val="00633BEE"/>
    <w:rsid w:val="0063575C"/>
    <w:rsid w:val="0063661F"/>
    <w:rsid w:val="00640D82"/>
    <w:rsid w:val="006425B5"/>
    <w:rsid w:val="00642E89"/>
    <w:rsid w:val="00643A7C"/>
    <w:rsid w:val="00644AF1"/>
    <w:rsid w:val="00651EF3"/>
    <w:rsid w:val="00654562"/>
    <w:rsid w:val="00654B33"/>
    <w:rsid w:val="00656008"/>
    <w:rsid w:val="006566AB"/>
    <w:rsid w:val="00661962"/>
    <w:rsid w:val="00662F0D"/>
    <w:rsid w:val="00664865"/>
    <w:rsid w:val="00666517"/>
    <w:rsid w:val="0066722A"/>
    <w:rsid w:val="00667A58"/>
    <w:rsid w:val="0067094A"/>
    <w:rsid w:val="00671131"/>
    <w:rsid w:val="00673036"/>
    <w:rsid w:val="0067343D"/>
    <w:rsid w:val="00673D7A"/>
    <w:rsid w:val="00674788"/>
    <w:rsid w:val="00674FCA"/>
    <w:rsid w:val="00675E1C"/>
    <w:rsid w:val="0067614A"/>
    <w:rsid w:val="00677AB8"/>
    <w:rsid w:val="00684031"/>
    <w:rsid w:val="0068489F"/>
    <w:rsid w:val="006865F1"/>
    <w:rsid w:val="00690843"/>
    <w:rsid w:val="00690C7A"/>
    <w:rsid w:val="006930EC"/>
    <w:rsid w:val="00697DE3"/>
    <w:rsid w:val="006A021F"/>
    <w:rsid w:val="006A0CF6"/>
    <w:rsid w:val="006A1922"/>
    <w:rsid w:val="006A1935"/>
    <w:rsid w:val="006A2E91"/>
    <w:rsid w:val="006A47C1"/>
    <w:rsid w:val="006A6446"/>
    <w:rsid w:val="006A7F19"/>
    <w:rsid w:val="006B12FD"/>
    <w:rsid w:val="006B2E6C"/>
    <w:rsid w:val="006B46EC"/>
    <w:rsid w:val="006B47DF"/>
    <w:rsid w:val="006B5607"/>
    <w:rsid w:val="006B5A1A"/>
    <w:rsid w:val="006B7647"/>
    <w:rsid w:val="006B7E7F"/>
    <w:rsid w:val="006C0869"/>
    <w:rsid w:val="006C1614"/>
    <w:rsid w:val="006C2271"/>
    <w:rsid w:val="006C2AA7"/>
    <w:rsid w:val="006C3B50"/>
    <w:rsid w:val="006C4524"/>
    <w:rsid w:val="006C49F6"/>
    <w:rsid w:val="006C4FF8"/>
    <w:rsid w:val="006C5CF2"/>
    <w:rsid w:val="006C7D2E"/>
    <w:rsid w:val="006D0570"/>
    <w:rsid w:val="006D0DBE"/>
    <w:rsid w:val="006D14AB"/>
    <w:rsid w:val="006D3401"/>
    <w:rsid w:val="006D657C"/>
    <w:rsid w:val="006E069F"/>
    <w:rsid w:val="006E0A60"/>
    <w:rsid w:val="006E13B1"/>
    <w:rsid w:val="006E2CF2"/>
    <w:rsid w:val="006E3614"/>
    <w:rsid w:val="006E38E3"/>
    <w:rsid w:val="006E3F42"/>
    <w:rsid w:val="006E4966"/>
    <w:rsid w:val="006E63EB"/>
    <w:rsid w:val="006E6910"/>
    <w:rsid w:val="006E77B2"/>
    <w:rsid w:val="006F0C08"/>
    <w:rsid w:val="006F17E9"/>
    <w:rsid w:val="006F235C"/>
    <w:rsid w:val="006F42E2"/>
    <w:rsid w:val="006F5D99"/>
    <w:rsid w:val="006F644C"/>
    <w:rsid w:val="00701562"/>
    <w:rsid w:val="00701F1B"/>
    <w:rsid w:val="00703242"/>
    <w:rsid w:val="00704308"/>
    <w:rsid w:val="00705168"/>
    <w:rsid w:val="007054B3"/>
    <w:rsid w:val="007059DC"/>
    <w:rsid w:val="00705D4E"/>
    <w:rsid w:val="00706220"/>
    <w:rsid w:val="00706B40"/>
    <w:rsid w:val="00710917"/>
    <w:rsid w:val="00710AFE"/>
    <w:rsid w:val="00710C4B"/>
    <w:rsid w:val="00710D7C"/>
    <w:rsid w:val="00711392"/>
    <w:rsid w:val="0071149B"/>
    <w:rsid w:val="0071211B"/>
    <w:rsid w:val="0071246F"/>
    <w:rsid w:val="0071373A"/>
    <w:rsid w:val="00715364"/>
    <w:rsid w:val="00716308"/>
    <w:rsid w:val="00720319"/>
    <w:rsid w:val="00721A04"/>
    <w:rsid w:val="00721E56"/>
    <w:rsid w:val="00722BE9"/>
    <w:rsid w:val="007263CC"/>
    <w:rsid w:val="007271A8"/>
    <w:rsid w:val="00727E15"/>
    <w:rsid w:val="0073029C"/>
    <w:rsid w:val="007307A2"/>
    <w:rsid w:val="00730E59"/>
    <w:rsid w:val="00731987"/>
    <w:rsid w:val="00732EB2"/>
    <w:rsid w:val="0073358A"/>
    <w:rsid w:val="00734924"/>
    <w:rsid w:val="00735B2F"/>
    <w:rsid w:val="00735E3A"/>
    <w:rsid w:val="00736B05"/>
    <w:rsid w:val="00737859"/>
    <w:rsid w:val="0074141D"/>
    <w:rsid w:val="00742A51"/>
    <w:rsid w:val="0074417F"/>
    <w:rsid w:val="00744797"/>
    <w:rsid w:val="00744D11"/>
    <w:rsid w:val="0074674D"/>
    <w:rsid w:val="007478F0"/>
    <w:rsid w:val="00747B7E"/>
    <w:rsid w:val="00750984"/>
    <w:rsid w:val="00752FBB"/>
    <w:rsid w:val="00754C28"/>
    <w:rsid w:val="0075549D"/>
    <w:rsid w:val="00756047"/>
    <w:rsid w:val="00757616"/>
    <w:rsid w:val="00757FAA"/>
    <w:rsid w:val="007601AE"/>
    <w:rsid w:val="00760691"/>
    <w:rsid w:val="007613FD"/>
    <w:rsid w:val="00761771"/>
    <w:rsid w:val="00766E5E"/>
    <w:rsid w:val="007674F9"/>
    <w:rsid w:val="00767924"/>
    <w:rsid w:val="00767DAD"/>
    <w:rsid w:val="0077011B"/>
    <w:rsid w:val="00770196"/>
    <w:rsid w:val="00770677"/>
    <w:rsid w:val="00771F9F"/>
    <w:rsid w:val="0077256D"/>
    <w:rsid w:val="00774EBB"/>
    <w:rsid w:val="00775983"/>
    <w:rsid w:val="007759C1"/>
    <w:rsid w:val="0077730B"/>
    <w:rsid w:val="0078328E"/>
    <w:rsid w:val="00784C8B"/>
    <w:rsid w:val="00786897"/>
    <w:rsid w:val="00787206"/>
    <w:rsid w:val="00790C38"/>
    <w:rsid w:val="00793250"/>
    <w:rsid w:val="00794AAD"/>
    <w:rsid w:val="00795517"/>
    <w:rsid w:val="00796025"/>
    <w:rsid w:val="00796BA7"/>
    <w:rsid w:val="007A0A83"/>
    <w:rsid w:val="007A4FF3"/>
    <w:rsid w:val="007A54DD"/>
    <w:rsid w:val="007A60D0"/>
    <w:rsid w:val="007B291B"/>
    <w:rsid w:val="007B2D56"/>
    <w:rsid w:val="007B382C"/>
    <w:rsid w:val="007B3A40"/>
    <w:rsid w:val="007B555A"/>
    <w:rsid w:val="007B5737"/>
    <w:rsid w:val="007B57DB"/>
    <w:rsid w:val="007B61C2"/>
    <w:rsid w:val="007B681D"/>
    <w:rsid w:val="007B7175"/>
    <w:rsid w:val="007B7410"/>
    <w:rsid w:val="007C1595"/>
    <w:rsid w:val="007C182E"/>
    <w:rsid w:val="007C1E8F"/>
    <w:rsid w:val="007C32FC"/>
    <w:rsid w:val="007C472B"/>
    <w:rsid w:val="007C504B"/>
    <w:rsid w:val="007C5CB4"/>
    <w:rsid w:val="007D426E"/>
    <w:rsid w:val="007D6236"/>
    <w:rsid w:val="007D7DF8"/>
    <w:rsid w:val="007E0280"/>
    <w:rsid w:val="007E02E5"/>
    <w:rsid w:val="007E10EA"/>
    <w:rsid w:val="007E1820"/>
    <w:rsid w:val="007E269F"/>
    <w:rsid w:val="007E7064"/>
    <w:rsid w:val="007E7249"/>
    <w:rsid w:val="007F00AE"/>
    <w:rsid w:val="007F00F5"/>
    <w:rsid w:val="007F059E"/>
    <w:rsid w:val="007F11E4"/>
    <w:rsid w:val="007F1B91"/>
    <w:rsid w:val="007F1E3B"/>
    <w:rsid w:val="007F235E"/>
    <w:rsid w:val="007F27EA"/>
    <w:rsid w:val="007F37E2"/>
    <w:rsid w:val="007F3961"/>
    <w:rsid w:val="007F3D70"/>
    <w:rsid w:val="007F4BA2"/>
    <w:rsid w:val="007F505B"/>
    <w:rsid w:val="007F6F32"/>
    <w:rsid w:val="007F783D"/>
    <w:rsid w:val="008034D0"/>
    <w:rsid w:val="00804C2F"/>
    <w:rsid w:val="00805AEF"/>
    <w:rsid w:val="00806467"/>
    <w:rsid w:val="00806A7E"/>
    <w:rsid w:val="008127D3"/>
    <w:rsid w:val="00813689"/>
    <w:rsid w:val="008138A6"/>
    <w:rsid w:val="00817B64"/>
    <w:rsid w:val="00817DA5"/>
    <w:rsid w:val="0082633C"/>
    <w:rsid w:val="008264DE"/>
    <w:rsid w:val="008268D9"/>
    <w:rsid w:val="00830E34"/>
    <w:rsid w:val="00832EA7"/>
    <w:rsid w:val="0084327C"/>
    <w:rsid w:val="008434EE"/>
    <w:rsid w:val="008439CD"/>
    <w:rsid w:val="008442A4"/>
    <w:rsid w:val="00846A36"/>
    <w:rsid w:val="00847ADE"/>
    <w:rsid w:val="00850DEA"/>
    <w:rsid w:val="00851172"/>
    <w:rsid w:val="00852F36"/>
    <w:rsid w:val="00853AC4"/>
    <w:rsid w:val="008550C4"/>
    <w:rsid w:val="00856089"/>
    <w:rsid w:val="008609AA"/>
    <w:rsid w:val="00861ACC"/>
    <w:rsid w:val="00862194"/>
    <w:rsid w:val="00862205"/>
    <w:rsid w:val="00863516"/>
    <w:rsid w:val="00872EFC"/>
    <w:rsid w:val="008733F5"/>
    <w:rsid w:val="00877EE9"/>
    <w:rsid w:val="00881265"/>
    <w:rsid w:val="0088151B"/>
    <w:rsid w:val="00881676"/>
    <w:rsid w:val="00882C6E"/>
    <w:rsid w:val="00883E0D"/>
    <w:rsid w:val="008849F4"/>
    <w:rsid w:val="00884A34"/>
    <w:rsid w:val="00885B6A"/>
    <w:rsid w:val="008909E9"/>
    <w:rsid w:val="00891773"/>
    <w:rsid w:val="00896882"/>
    <w:rsid w:val="008A2168"/>
    <w:rsid w:val="008A2C53"/>
    <w:rsid w:val="008A2E19"/>
    <w:rsid w:val="008A3894"/>
    <w:rsid w:val="008A407B"/>
    <w:rsid w:val="008A4A93"/>
    <w:rsid w:val="008A4E1E"/>
    <w:rsid w:val="008A63A6"/>
    <w:rsid w:val="008B201D"/>
    <w:rsid w:val="008B2448"/>
    <w:rsid w:val="008B313A"/>
    <w:rsid w:val="008B3B65"/>
    <w:rsid w:val="008B5B07"/>
    <w:rsid w:val="008C1719"/>
    <w:rsid w:val="008C3822"/>
    <w:rsid w:val="008C39FB"/>
    <w:rsid w:val="008C5A65"/>
    <w:rsid w:val="008C5F0F"/>
    <w:rsid w:val="008D1981"/>
    <w:rsid w:val="008D1BED"/>
    <w:rsid w:val="008D3AE6"/>
    <w:rsid w:val="008D410A"/>
    <w:rsid w:val="008D5955"/>
    <w:rsid w:val="008E4612"/>
    <w:rsid w:val="008E5218"/>
    <w:rsid w:val="008E629C"/>
    <w:rsid w:val="008E62FB"/>
    <w:rsid w:val="008E650B"/>
    <w:rsid w:val="008E6893"/>
    <w:rsid w:val="008E6E9A"/>
    <w:rsid w:val="008F15C6"/>
    <w:rsid w:val="008F3369"/>
    <w:rsid w:val="008F4039"/>
    <w:rsid w:val="008F4796"/>
    <w:rsid w:val="009007F9"/>
    <w:rsid w:val="00900FC5"/>
    <w:rsid w:val="00902DFA"/>
    <w:rsid w:val="009033D3"/>
    <w:rsid w:val="00904365"/>
    <w:rsid w:val="009051E9"/>
    <w:rsid w:val="0091048A"/>
    <w:rsid w:val="00910A0F"/>
    <w:rsid w:val="00912977"/>
    <w:rsid w:val="009151EC"/>
    <w:rsid w:val="00915C97"/>
    <w:rsid w:val="00916296"/>
    <w:rsid w:val="00916CB6"/>
    <w:rsid w:val="00916FE7"/>
    <w:rsid w:val="00923312"/>
    <w:rsid w:val="00924250"/>
    <w:rsid w:val="0092469E"/>
    <w:rsid w:val="00926E08"/>
    <w:rsid w:val="009302BF"/>
    <w:rsid w:val="0093141A"/>
    <w:rsid w:val="0094185A"/>
    <w:rsid w:val="0094259C"/>
    <w:rsid w:val="00943AF6"/>
    <w:rsid w:val="00945B63"/>
    <w:rsid w:val="009462BC"/>
    <w:rsid w:val="00947ABF"/>
    <w:rsid w:val="00947B45"/>
    <w:rsid w:val="009502AB"/>
    <w:rsid w:val="0095096F"/>
    <w:rsid w:val="00951731"/>
    <w:rsid w:val="00952249"/>
    <w:rsid w:val="00952A77"/>
    <w:rsid w:val="00952E9A"/>
    <w:rsid w:val="00954752"/>
    <w:rsid w:val="00962733"/>
    <w:rsid w:val="00966D13"/>
    <w:rsid w:val="00967930"/>
    <w:rsid w:val="00967A50"/>
    <w:rsid w:val="00967B77"/>
    <w:rsid w:val="00967D62"/>
    <w:rsid w:val="00967DDF"/>
    <w:rsid w:val="00970DC8"/>
    <w:rsid w:val="00970ED6"/>
    <w:rsid w:val="00975FDF"/>
    <w:rsid w:val="0097614A"/>
    <w:rsid w:val="00977398"/>
    <w:rsid w:val="00977623"/>
    <w:rsid w:val="009809ED"/>
    <w:rsid w:val="0098164D"/>
    <w:rsid w:val="0098222E"/>
    <w:rsid w:val="009822C5"/>
    <w:rsid w:val="00982660"/>
    <w:rsid w:val="00982F9B"/>
    <w:rsid w:val="00983C35"/>
    <w:rsid w:val="00983D88"/>
    <w:rsid w:val="0098682A"/>
    <w:rsid w:val="00991EFA"/>
    <w:rsid w:val="00992769"/>
    <w:rsid w:val="009942E7"/>
    <w:rsid w:val="009942EF"/>
    <w:rsid w:val="009A0139"/>
    <w:rsid w:val="009A2085"/>
    <w:rsid w:val="009A3098"/>
    <w:rsid w:val="009A368C"/>
    <w:rsid w:val="009A4C03"/>
    <w:rsid w:val="009A7032"/>
    <w:rsid w:val="009A73F5"/>
    <w:rsid w:val="009B5027"/>
    <w:rsid w:val="009B544A"/>
    <w:rsid w:val="009B6D07"/>
    <w:rsid w:val="009C0A61"/>
    <w:rsid w:val="009C3E57"/>
    <w:rsid w:val="009C430E"/>
    <w:rsid w:val="009C58C4"/>
    <w:rsid w:val="009C5CE4"/>
    <w:rsid w:val="009C63FE"/>
    <w:rsid w:val="009C774E"/>
    <w:rsid w:val="009C7A70"/>
    <w:rsid w:val="009D1A6F"/>
    <w:rsid w:val="009D5B80"/>
    <w:rsid w:val="009E30C9"/>
    <w:rsid w:val="009E337E"/>
    <w:rsid w:val="009E420A"/>
    <w:rsid w:val="009E5225"/>
    <w:rsid w:val="009F04AC"/>
    <w:rsid w:val="009F0ECA"/>
    <w:rsid w:val="009F233F"/>
    <w:rsid w:val="009F3CF1"/>
    <w:rsid w:val="009F4BFC"/>
    <w:rsid w:val="009F57A9"/>
    <w:rsid w:val="009F62C4"/>
    <w:rsid w:val="009F6500"/>
    <w:rsid w:val="009F6AAB"/>
    <w:rsid w:val="00A0042D"/>
    <w:rsid w:val="00A032E7"/>
    <w:rsid w:val="00A03571"/>
    <w:rsid w:val="00A03A6E"/>
    <w:rsid w:val="00A06051"/>
    <w:rsid w:val="00A06C04"/>
    <w:rsid w:val="00A06CBF"/>
    <w:rsid w:val="00A11237"/>
    <w:rsid w:val="00A15AB4"/>
    <w:rsid w:val="00A15C70"/>
    <w:rsid w:val="00A17FA0"/>
    <w:rsid w:val="00A24A58"/>
    <w:rsid w:val="00A25695"/>
    <w:rsid w:val="00A26E88"/>
    <w:rsid w:val="00A30320"/>
    <w:rsid w:val="00A303AA"/>
    <w:rsid w:val="00A324D3"/>
    <w:rsid w:val="00A3281E"/>
    <w:rsid w:val="00A333FC"/>
    <w:rsid w:val="00A33EEB"/>
    <w:rsid w:val="00A345E5"/>
    <w:rsid w:val="00A34BA0"/>
    <w:rsid w:val="00A36A28"/>
    <w:rsid w:val="00A37DAA"/>
    <w:rsid w:val="00A4141A"/>
    <w:rsid w:val="00A4232E"/>
    <w:rsid w:val="00A4403C"/>
    <w:rsid w:val="00A44A14"/>
    <w:rsid w:val="00A459B4"/>
    <w:rsid w:val="00A461D6"/>
    <w:rsid w:val="00A4732D"/>
    <w:rsid w:val="00A50D97"/>
    <w:rsid w:val="00A53BC4"/>
    <w:rsid w:val="00A544A8"/>
    <w:rsid w:val="00A57CD7"/>
    <w:rsid w:val="00A57E08"/>
    <w:rsid w:val="00A63EA5"/>
    <w:rsid w:val="00A6599D"/>
    <w:rsid w:val="00A65C0E"/>
    <w:rsid w:val="00A66EAB"/>
    <w:rsid w:val="00A673E1"/>
    <w:rsid w:val="00A67E19"/>
    <w:rsid w:val="00A71288"/>
    <w:rsid w:val="00A71722"/>
    <w:rsid w:val="00A74EF5"/>
    <w:rsid w:val="00A76A8E"/>
    <w:rsid w:val="00A7744F"/>
    <w:rsid w:val="00A8040C"/>
    <w:rsid w:val="00A80565"/>
    <w:rsid w:val="00A80B52"/>
    <w:rsid w:val="00A822F5"/>
    <w:rsid w:val="00A825BB"/>
    <w:rsid w:val="00A8386B"/>
    <w:rsid w:val="00A84238"/>
    <w:rsid w:val="00A8432E"/>
    <w:rsid w:val="00A857A2"/>
    <w:rsid w:val="00A857E1"/>
    <w:rsid w:val="00A86280"/>
    <w:rsid w:val="00A865A1"/>
    <w:rsid w:val="00A87B1C"/>
    <w:rsid w:val="00A87D5E"/>
    <w:rsid w:val="00A92D48"/>
    <w:rsid w:val="00A96982"/>
    <w:rsid w:val="00A979FE"/>
    <w:rsid w:val="00AA09B0"/>
    <w:rsid w:val="00AB00FF"/>
    <w:rsid w:val="00AB02CB"/>
    <w:rsid w:val="00AB2457"/>
    <w:rsid w:val="00AB2F0E"/>
    <w:rsid w:val="00AB3DEB"/>
    <w:rsid w:val="00AB5A2E"/>
    <w:rsid w:val="00AB6970"/>
    <w:rsid w:val="00AC197F"/>
    <w:rsid w:val="00AC4079"/>
    <w:rsid w:val="00AC529E"/>
    <w:rsid w:val="00AC69FC"/>
    <w:rsid w:val="00AD17EF"/>
    <w:rsid w:val="00AD3D63"/>
    <w:rsid w:val="00AD42C7"/>
    <w:rsid w:val="00AD4DEC"/>
    <w:rsid w:val="00AD5037"/>
    <w:rsid w:val="00AD5AC5"/>
    <w:rsid w:val="00AE062F"/>
    <w:rsid w:val="00AE0B37"/>
    <w:rsid w:val="00AE1223"/>
    <w:rsid w:val="00AE1249"/>
    <w:rsid w:val="00AE76D7"/>
    <w:rsid w:val="00AF0412"/>
    <w:rsid w:val="00AF06DB"/>
    <w:rsid w:val="00AF4ACC"/>
    <w:rsid w:val="00AF610C"/>
    <w:rsid w:val="00AF6AA0"/>
    <w:rsid w:val="00B003C0"/>
    <w:rsid w:val="00B00A36"/>
    <w:rsid w:val="00B00A6E"/>
    <w:rsid w:val="00B0465D"/>
    <w:rsid w:val="00B04DC1"/>
    <w:rsid w:val="00B10779"/>
    <w:rsid w:val="00B1250F"/>
    <w:rsid w:val="00B138E5"/>
    <w:rsid w:val="00B13CF3"/>
    <w:rsid w:val="00B14856"/>
    <w:rsid w:val="00B15EDF"/>
    <w:rsid w:val="00B166B8"/>
    <w:rsid w:val="00B21599"/>
    <w:rsid w:val="00B228DF"/>
    <w:rsid w:val="00B30062"/>
    <w:rsid w:val="00B31BF2"/>
    <w:rsid w:val="00B33C56"/>
    <w:rsid w:val="00B35231"/>
    <w:rsid w:val="00B353E2"/>
    <w:rsid w:val="00B370ED"/>
    <w:rsid w:val="00B37426"/>
    <w:rsid w:val="00B37B18"/>
    <w:rsid w:val="00B401EC"/>
    <w:rsid w:val="00B40F2D"/>
    <w:rsid w:val="00B4231F"/>
    <w:rsid w:val="00B42699"/>
    <w:rsid w:val="00B449F9"/>
    <w:rsid w:val="00B4595C"/>
    <w:rsid w:val="00B50C76"/>
    <w:rsid w:val="00B51866"/>
    <w:rsid w:val="00B53C6A"/>
    <w:rsid w:val="00B548AE"/>
    <w:rsid w:val="00B54F65"/>
    <w:rsid w:val="00B56AB4"/>
    <w:rsid w:val="00B56AD0"/>
    <w:rsid w:val="00B57E71"/>
    <w:rsid w:val="00B60BF7"/>
    <w:rsid w:val="00B625E2"/>
    <w:rsid w:val="00B62B7D"/>
    <w:rsid w:val="00B63331"/>
    <w:rsid w:val="00B64B5B"/>
    <w:rsid w:val="00B67C0C"/>
    <w:rsid w:val="00B70E36"/>
    <w:rsid w:val="00B711DE"/>
    <w:rsid w:val="00B71E52"/>
    <w:rsid w:val="00B737CF"/>
    <w:rsid w:val="00B73A35"/>
    <w:rsid w:val="00B73B39"/>
    <w:rsid w:val="00B753A0"/>
    <w:rsid w:val="00B754FD"/>
    <w:rsid w:val="00B7733B"/>
    <w:rsid w:val="00B82D9E"/>
    <w:rsid w:val="00B83493"/>
    <w:rsid w:val="00B83923"/>
    <w:rsid w:val="00B83CF7"/>
    <w:rsid w:val="00B85EFF"/>
    <w:rsid w:val="00B87352"/>
    <w:rsid w:val="00B873B1"/>
    <w:rsid w:val="00B904F4"/>
    <w:rsid w:val="00B90817"/>
    <w:rsid w:val="00B9180B"/>
    <w:rsid w:val="00B97AF7"/>
    <w:rsid w:val="00BA095D"/>
    <w:rsid w:val="00BA50A8"/>
    <w:rsid w:val="00BA6923"/>
    <w:rsid w:val="00BA7EEA"/>
    <w:rsid w:val="00BB02D5"/>
    <w:rsid w:val="00BB154C"/>
    <w:rsid w:val="00BB2C19"/>
    <w:rsid w:val="00BB53B2"/>
    <w:rsid w:val="00BB56E6"/>
    <w:rsid w:val="00BB729C"/>
    <w:rsid w:val="00BB7D73"/>
    <w:rsid w:val="00BC0D70"/>
    <w:rsid w:val="00BC1C69"/>
    <w:rsid w:val="00BC3B90"/>
    <w:rsid w:val="00BC3C4B"/>
    <w:rsid w:val="00BC51EF"/>
    <w:rsid w:val="00BC5D43"/>
    <w:rsid w:val="00BC6FB6"/>
    <w:rsid w:val="00BD2D60"/>
    <w:rsid w:val="00BD333A"/>
    <w:rsid w:val="00BD4274"/>
    <w:rsid w:val="00BD4ACD"/>
    <w:rsid w:val="00BD5EF4"/>
    <w:rsid w:val="00BD644F"/>
    <w:rsid w:val="00BD7CFF"/>
    <w:rsid w:val="00BE0BF8"/>
    <w:rsid w:val="00BE176D"/>
    <w:rsid w:val="00BE5196"/>
    <w:rsid w:val="00BE5386"/>
    <w:rsid w:val="00BE5D28"/>
    <w:rsid w:val="00BE75DF"/>
    <w:rsid w:val="00BF109A"/>
    <w:rsid w:val="00BF2CF0"/>
    <w:rsid w:val="00BF2DB1"/>
    <w:rsid w:val="00BF432B"/>
    <w:rsid w:val="00BF554A"/>
    <w:rsid w:val="00BF55A1"/>
    <w:rsid w:val="00BF5906"/>
    <w:rsid w:val="00BF76AA"/>
    <w:rsid w:val="00BF7F8E"/>
    <w:rsid w:val="00C029C3"/>
    <w:rsid w:val="00C02F26"/>
    <w:rsid w:val="00C0475F"/>
    <w:rsid w:val="00C05166"/>
    <w:rsid w:val="00C0640D"/>
    <w:rsid w:val="00C0722A"/>
    <w:rsid w:val="00C07A96"/>
    <w:rsid w:val="00C07B42"/>
    <w:rsid w:val="00C1474A"/>
    <w:rsid w:val="00C15D26"/>
    <w:rsid w:val="00C221F0"/>
    <w:rsid w:val="00C241D5"/>
    <w:rsid w:val="00C24939"/>
    <w:rsid w:val="00C24A1D"/>
    <w:rsid w:val="00C2619E"/>
    <w:rsid w:val="00C27038"/>
    <w:rsid w:val="00C279D3"/>
    <w:rsid w:val="00C32958"/>
    <w:rsid w:val="00C33C63"/>
    <w:rsid w:val="00C37F3C"/>
    <w:rsid w:val="00C4011A"/>
    <w:rsid w:val="00C40B02"/>
    <w:rsid w:val="00C44981"/>
    <w:rsid w:val="00C46AEB"/>
    <w:rsid w:val="00C509AC"/>
    <w:rsid w:val="00C512F3"/>
    <w:rsid w:val="00C54E12"/>
    <w:rsid w:val="00C5542D"/>
    <w:rsid w:val="00C55D46"/>
    <w:rsid w:val="00C573E0"/>
    <w:rsid w:val="00C61C01"/>
    <w:rsid w:val="00C63A1C"/>
    <w:rsid w:val="00C64FEF"/>
    <w:rsid w:val="00C65354"/>
    <w:rsid w:val="00C65CBA"/>
    <w:rsid w:val="00C662FD"/>
    <w:rsid w:val="00C67A9F"/>
    <w:rsid w:val="00C67CC4"/>
    <w:rsid w:val="00C707F1"/>
    <w:rsid w:val="00C7196F"/>
    <w:rsid w:val="00C7258D"/>
    <w:rsid w:val="00C72A3F"/>
    <w:rsid w:val="00C7378A"/>
    <w:rsid w:val="00C74935"/>
    <w:rsid w:val="00C773AC"/>
    <w:rsid w:val="00C80F07"/>
    <w:rsid w:val="00C80FB7"/>
    <w:rsid w:val="00C8103F"/>
    <w:rsid w:val="00C81B08"/>
    <w:rsid w:val="00C82B9D"/>
    <w:rsid w:val="00C83206"/>
    <w:rsid w:val="00C83713"/>
    <w:rsid w:val="00C83B15"/>
    <w:rsid w:val="00C843E2"/>
    <w:rsid w:val="00C8565D"/>
    <w:rsid w:val="00C86393"/>
    <w:rsid w:val="00C86B83"/>
    <w:rsid w:val="00C903AC"/>
    <w:rsid w:val="00C91432"/>
    <w:rsid w:val="00C91FAB"/>
    <w:rsid w:val="00C93638"/>
    <w:rsid w:val="00C949F5"/>
    <w:rsid w:val="00C956DB"/>
    <w:rsid w:val="00C96243"/>
    <w:rsid w:val="00CA0DEF"/>
    <w:rsid w:val="00CA27E0"/>
    <w:rsid w:val="00CA3456"/>
    <w:rsid w:val="00CA3761"/>
    <w:rsid w:val="00CA548B"/>
    <w:rsid w:val="00CA5C93"/>
    <w:rsid w:val="00CA6CEB"/>
    <w:rsid w:val="00CA765E"/>
    <w:rsid w:val="00CB0006"/>
    <w:rsid w:val="00CB35F2"/>
    <w:rsid w:val="00CB6147"/>
    <w:rsid w:val="00CC014D"/>
    <w:rsid w:val="00CC0410"/>
    <w:rsid w:val="00CC042A"/>
    <w:rsid w:val="00CC09AB"/>
    <w:rsid w:val="00CC4446"/>
    <w:rsid w:val="00CC543C"/>
    <w:rsid w:val="00CC69A4"/>
    <w:rsid w:val="00CD3407"/>
    <w:rsid w:val="00CD374C"/>
    <w:rsid w:val="00CD4748"/>
    <w:rsid w:val="00CD5E31"/>
    <w:rsid w:val="00CD6089"/>
    <w:rsid w:val="00CE0AE9"/>
    <w:rsid w:val="00CE1903"/>
    <w:rsid w:val="00CE2E3E"/>
    <w:rsid w:val="00CE3BE3"/>
    <w:rsid w:val="00CE462F"/>
    <w:rsid w:val="00CE473B"/>
    <w:rsid w:val="00CE529E"/>
    <w:rsid w:val="00CE52CD"/>
    <w:rsid w:val="00CF05E8"/>
    <w:rsid w:val="00CF0798"/>
    <w:rsid w:val="00CF0D54"/>
    <w:rsid w:val="00CF4A76"/>
    <w:rsid w:val="00CF60F2"/>
    <w:rsid w:val="00CF67F6"/>
    <w:rsid w:val="00D00DC0"/>
    <w:rsid w:val="00D017AE"/>
    <w:rsid w:val="00D03E50"/>
    <w:rsid w:val="00D046DA"/>
    <w:rsid w:val="00D049A0"/>
    <w:rsid w:val="00D04CB1"/>
    <w:rsid w:val="00D10851"/>
    <w:rsid w:val="00D109B2"/>
    <w:rsid w:val="00D10A40"/>
    <w:rsid w:val="00D135D7"/>
    <w:rsid w:val="00D15449"/>
    <w:rsid w:val="00D1559B"/>
    <w:rsid w:val="00D158F9"/>
    <w:rsid w:val="00D15B3F"/>
    <w:rsid w:val="00D15E9E"/>
    <w:rsid w:val="00D16E6E"/>
    <w:rsid w:val="00D17003"/>
    <w:rsid w:val="00D20040"/>
    <w:rsid w:val="00D20DF8"/>
    <w:rsid w:val="00D2166C"/>
    <w:rsid w:val="00D2179B"/>
    <w:rsid w:val="00D22905"/>
    <w:rsid w:val="00D23B41"/>
    <w:rsid w:val="00D2431A"/>
    <w:rsid w:val="00D25519"/>
    <w:rsid w:val="00D26340"/>
    <w:rsid w:val="00D26381"/>
    <w:rsid w:val="00D27FB5"/>
    <w:rsid w:val="00D30EE1"/>
    <w:rsid w:val="00D31735"/>
    <w:rsid w:val="00D3256D"/>
    <w:rsid w:val="00D33449"/>
    <w:rsid w:val="00D35078"/>
    <w:rsid w:val="00D35502"/>
    <w:rsid w:val="00D4049F"/>
    <w:rsid w:val="00D40D9D"/>
    <w:rsid w:val="00D43E87"/>
    <w:rsid w:val="00D4607F"/>
    <w:rsid w:val="00D4635B"/>
    <w:rsid w:val="00D46EDC"/>
    <w:rsid w:val="00D47E77"/>
    <w:rsid w:val="00D501E5"/>
    <w:rsid w:val="00D51A1F"/>
    <w:rsid w:val="00D51D5B"/>
    <w:rsid w:val="00D51F18"/>
    <w:rsid w:val="00D52727"/>
    <w:rsid w:val="00D529B6"/>
    <w:rsid w:val="00D539C4"/>
    <w:rsid w:val="00D53E5E"/>
    <w:rsid w:val="00D549EE"/>
    <w:rsid w:val="00D552C0"/>
    <w:rsid w:val="00D56873"/>
    <w:rsid w:val="00D60470"/>
    <w:rsid w:val="00D60754"/>
    <w:rsid w:val="00D6134F"/>
    <w:rsid w:val="00D64FBA"/>
    <w:rsid w:val="00D677E8"/>
    <w:rsid w:val="00D703B1"/>
    <w:rsid w:val="00D707C6"/>
    <w:rsid w:val="00D70B42"/>
    <w:rsid w:val="00D7118F"/>
    <w:rsid w:val="00D71D05"/>
    <w:rsid w:val="00D71F5C"/>
    <w:rsid w:val="00D729B8"/>
    <w:rsid w:val="00D734B4"/>
    <w:rsid w:val="00D744A4"/>
    <w:rsid w:val="00D74795"/>
    <w:rsid w:val="00D7493C"/>
    <w:rsid w:val="00D75315"/>
    <w:rsid w:val="00D772D2"/>
    <w:rsid w:val="00D774F0"/>
    <w:rsid w:val="00D77A65"/>
    <w:rsid w:val="00D8073C"/>
    <w:rsid w:val="00D820B7"/>
    <w:rsid w:val="00D820D0"/>
    <w:rsid w:val="00D82660"/>
    <w:rsid w:val="00D82EF8"/>
    <w:rsid w:val="00D8341D"/>
    <w:rsid w:val="00D837A8"/>
    <w:rsid w:val="00D8436C"/>
    <w:rsid w:val="00D84BDB"/>
    <w:rsid w:val="00D87911"/>
    <w:rsid w:val="00D87F7C"/>
    <w:rsid w:val="00D93DD9"/>
    <w:rsid w:val="00D950D6"/>
    <w:rsid w:val="00D958FA"/>
    <w:rsid w:val="00D95B1A"/>
    <w:rsid w:val="00D969E8"/>
    <w:rsid w:val="00DA0B7D"/>
    <w:rsid w:val="00DA204D"/>
    <w:rsid w:val="00DA339A"/>
    <w:rsid w:val="00DA564B"/>
    <w:rsid w:val="00DA6534"/>
    <w:rsid w:val="00DA692E"/>
    <w:rsid w:val="00DB046B"/>
    <w:rsid w:val="00DB1069"/>
    <w:rsid w:val="00DB188B"/>
    <w:rsid w:val="00DB21B7"/>
    <w:rsid w:val="00DB49A0"/>
    <w:rsid w:val="00DC051E"/>
    <w:rsid w:val="00DC1E98"/>
    <w:rsid w:val="00DC335B"/>
    <w:rsid w:val="00DC411E"/>
    <w:rsid w:val="00DC7D87"/>
    <w:rsid w:val="00DD0F69"/>
    <w:rsid w:val="00DD1561"/>
    <w:rsid w:val="00DD1AB5"/>
    <w:rsid w:val="00DD3047"/>
    <w:rsid w:val="00DD5737"/>
    <w:rsid w:val="00DE0BD4"/>
    <w:rsid w:val="00DE1426"/>
    <w:rsid w:val="00DE26F8"/>
    <w:rsid w:val="00DE2816"/>
    <w:rsid w:val="00DE338F"/>
    <w:rsid w:val="00DE4339"/>
    <w:rsid w:val="00DE44BD"/>
    <w:rsid w:val="00DE4F24"/>
    <w:rsid w:val="00DE5EA5"/>
    <w:rsid w:val="00DF03DF"/>
    <w:rsid w:val="00DF1CF8"/>
    <w:rsid w:val="00DF2505"/>
    <w:rsid w:val="00DF2BDF"/>
    <w:rsid w:val="00DF50DE"/>
    <w:rsid w:val="00DF6411"/>
    <w:rsid w:val="00DF713E"/>
    <w:rsid w:val="00DF71A8"/>
    <w:rsid w:val="00E00C28"/>
    <w:rsid w:val="00E02DB8"/>
    <w:rsid w:val="00E02DC1"/>
    <w:rsid w:val="00E02E68"/>
    <w:rsid w:val="00E0304B"/>
    <w:rsid w:val="00E03AAC"/>
    <w:rsid w:val="00E03D79"/>
    <w:rsid w:val="00E06C1C"/>
    <w:rsid w:val="00E076C9"/>
    <w:rsid w:val="00E11566"/>
    <w:rsid w:val="00E1200A"/>
    <w:rsid w:val="00E13482"/>
    <w:rsid w:val="00E13BDC"/>
    <w:rsid w:val="00E13C7A"/>
    <w:rsid w:val="00E159ED"/>
    <w:rsid w:val="00E162E9"/>
    <w:rsid w:val="00E1783F"/>
    <w:rsid w:val="00E209C0"/>
    <w:rsid w:val="00E2431F"/>
    <w:rsid w:val="00E24AC1"/>
    <w:rsid w:val="00E25D9C"/>
    <w:rsid w:val="00E27320"/>
    <w:rsid w:val="00E30081"/>
    <w:rsid w:val="00E318AE"/>
    <w:rsid w:val="00E341D5"/>
    <w:rsid w:val="00E34746"/>
    <w:rsid w:val="00E363CC"/>
    <w:rsid w:val="00E37D49"/>
    <w:rsid w:val="00E408BD"/>
    <w:rsid w:val="00E41CEB"/>
    <w:rsid w:val="00E42343"/>
    <w:rsid w:val="00E44CA3"/>
    <w:rsid w:val="00E47AB1"/>
    <w:rsid w:val="00E507B1"/>
    <w:rsid w:val="00E5090C"/>
    <w:rsid w:val="00E535AB"/>
    <w:rsid w:val="00E54054"/>
    <w:rsid w:val="00E555AA"/>
    <w:rsid w:val="00E55886"/>
    <w:rsid w:val="00E55B56"/>
    <w:rsid w:val="00E6054E"/>
    <w:rsid w:val="00E60BB6"/>
    <w:rsid w:val="00E626B0"/>
    <w:rsid w:val="00E63FD7"/>
    <w:rsid w:val="00E64702"/>
    <w:rsid w:val="00E65128"/>
    <w:rsid w:val="00E6545B"/>
    <w:rsid w:val="00E65A90"/>
    <w:rsid w:val="00E65FC3"/>
    <w:rsid w:val="00E6651D"/>
    <w:rsid w:val="00E671B1"/>
    <w:rsid w:val="00E7143F"/>
    <w:rsid w:val="00E7158D"/>
    <w:rsid w:val="00E71646"/>
    <w:rsid w:val="00E74EC5"/>
    <w:rsid w:val="00E75724"/>
    <w:rsid w:val="00E76371"/>
    <w:rsid w:val="00E76486"/>
    <w:rsid w:val="00E80B51"/>
    <w:rsid w:val="00E8115B"/>
    <w:rsid w:val="00E835CD"/>
    <w:rsid w:val="00E847DA"/>
    <w:rsid w:val="00E84986"/>
    <w:rsid w:val="00E85315"/>
    <w:rsid w:val="00E859D4"/>
    <w:rsid w:val="00EA15E9"/>
    <w:rsid w:val="00EA2975"/>
    <w:rsid w:val="00EA2F46"/>
    <w:rsid w:val="00EA3E17"/>
    <w:rsid w:val="00EA587C"/>
    <w:rsid w:val="00EA6F20"/>
    <w:rsid w:val="00EB4FCB"/>
    <w:rsid w:val="00EB5E16"/>
    <w:rsid w:val="00EB615C"/>
    <w:rsid w:val="00EB6908"/>
    <w:rsid w:val="00EC0788"/>
    <w:rsid w:val="00EC693A"/>
    <w:rsid w:val="00ED6C2F"/>
    <w:rsid w:val="00ED7F6C"/>
    <w:rsid w:val="00EE349F"/>
    <w:rsid w:val="00EE390E"/>
    <w:rsid w:val="00EE50C1"/>
    <w:rsid w:val="00EE578C"/>
    <w:rsid w:val="00EE5806"/>
    <w:rsid w:val="00EE76C5"/>
    <w:rsid w:val="00EF0928"/>
    <w:rsid w:val="00EF20B4"/>
    <w:rsid w:val="00EF2BE7"/>
    <w:rsid w:val="00EF40BA"/>
    <w:rsid w:val="00EF4725"/>
    <w:rsid w:val="00EF4967"/>
    <w:rsid w:val="00EF54B2"/>
    <w:rsid w:val="00EF71B1"/>
    <w:rsid w:val="00F00B9A"/>
    <w:rsid w:val="00F0411F"/>
    <w:rsid w:val="00F041CE"/>
    <w:rsid w:val="00F04974"/>
    <w:rsid w:val="00F04B6A"/>
    <w:rsid w:val="00F068AA"/>
    <w:rsid w:val="00F1031A"/>
    <w:rsid w:val="00F11BBF"/>
    <w:rsid w:val="00F137DF"/>
    <w:rsid w:val="00F14D30"/>
    <w:rsid w:val="00F14E22"/>
    <w:rsid w:val="00F15A80"/>
    <w:rsid w:val="00F17A53"/>
    <w:rsid w:val="00F20CF8"/>
    <w:rsid w:val="00F214BF"/>
    <w:rsid w:val="00F21CD5"/>
    <w:rsid w:val="00F21D61"/>
    <w:rsid w:val="00F24454"/>
    <w:rsid w:val="00F260C3"/>
    <w:rsid w:val="00F26944"/>
    <w:rsid w:val="00F30B9F"/>
    <w:rsid w:val="00F31159"/>
    <w:rsid w:val="00F311A9"/>
    <w:rsid w:val="00F33FC6"/>
    <w:rsid w:val="00F342B3"/>
    <w:rsid w:val="00F344F5"/>
    <w:rsid w:val="00F35BFF"/>
    <w:rsid w:val="00F35F59"/>
    <w:rsid w:val="00F3719D"/>
    <w:rsid w:val="00F37712"/>
    <w:rsid w:val="00F40D68"/>
    <w:rsid w:val="00F43A60"/>
    <w:rsid w:val="00F43C94"/>
    <w:rsid w:val="00F446CF"/>
    <w:rsid w:val="00F44E87"/>
    <w:rsid w:val="00F45BBA"/>
    <w:rsid w:val="00F45F05"/>
    <w:rsid w:val="00F462F8"/>
    <w:rsid w:val="00F46BF8"/>
    <w:rsid w:val="00F46CFB"/>
    <w:rsid w:val="00F47B05"/>
    <w:rsid w:val="00F514D0"/>
    <w:rsid w:val="00F515DF"/>
    <w:rsid w:val="00F52F33"/>
    <w:rsid w:val="00F53D4A"/>
    <w:rsid w:val="00F545F5"/>
    <w:rsid w:val="00F553A2"/>
    <w:rsid w:val="00F56BC5"/>
    <w:rsid w:val="00F570BC"/>
    <w:rsid w:val="00F61923"/>
    <w:rsid w:val="00F63202"/>
    <w:rsid w:val="00F63752"/>
    <w:rsid w:val="00F72556"/>
    <w:rsid w:val="00F72F6C"/>
    <w:rsid w:val="00F74DED"/>
    <w:rsid w:val="00F80BE1"/>
    <w:rsid w:val="00F81DF4"/>
    <w:rsid w:val="00F81E9A"/>
    <w:rsid w:val="00F8230D"/>
    <w:rsid w:val="00F849B0"/>
    <w:rsid w:val="00F853E1"/>
    <w:rsid w:val="00F8583B"/>
    <w:rsid w:val="00F87B62"/>
    <w:rsid w:val="00F91872"/>
    <w:rsid w:val="00F93CFE"/>
    <w:rsid w:val="00F943F6"/>
    <w:rsid w:val="00FA2392"/>
    <w:rsid w:val="00FA2FF4"/>
    <w:rsid w:val="00FA38F3"/>
    <w:rsid w:val="00FA69CE"/>
    <w:rsid w:val="00FA6CC1"/>
    <w:rsid w:val="00FA7B6F"/>
    <w:rsid w:val="00FB2991"/>
    <w:rsid w:val="00FB3F2D"/>
    <w:rsid w:val="00FB47B0"/>
    <w:rsid w:val="00FB57EF"/>
    <w:rsid w:val="00FB78AE"/>
    <w:rsid w:val="00FC0A44"/>
    <w:rsid w:val="00FC23C4"/>
    <w:rsid w:val="00FC247D"/>
    <w:rsid w:val="00FC35CB"/>
    <w:rsid w:val="00FC47EB"/>
    <w:rsid w:val="00FC48DA"/>
    <w:rsid w:val="00FC4C11"/>
    <w:rsid w:val="00FD1F7B"/>
    <w:rsid w:val="00FD3E45"/>
    <w:rsid w:val="00FD5405"/>
    <w:rsid w:val="00FD5785"/>
    <w:rsid w:val="00FD5B17"/>
    <w:rsid w:val="00FD6707"/>
    <w:rsid w:val="00FD6824"/>
    <w:rsid w:val="00FD6953"/>
    <w:rsid w:val="00FD6B0F"/>
    <w:rsid w:val="00FE035A"/>
    <w:rsid w:val="00FE07A2"/>
    <w:rsid w:val="00FE0E7B"/>
    <w:rsid w:val="00FE0F9C"/>
    <w:rsid w:val="00FE2C1C"/>
    <w:rsid w:val="00FE3498"/>
    <w:rsid w:val="00FE4C37"/>
    <w:rsid w:val="00FE6118"/>
    <w:rsid w:val="00FF0F23"/>
    <w:rsid w:val="00FF244E"/>
    <w:rsid w:val="00FF4A0D"/>
    <w:rsid w:val="00FF4AA2"/>
    <w:rsid w:val="00FF4E6D"/>
    <w:rsid w:val="00FF78CD"/>
    <w:rsid w:val="012A6A9A"/>
    <w:rsid w:val="01391D11"/>
    <w:rsid w:val="01B074DF"/>
    <w:rsid w:val="02A26C71"/>
    <w:rsid w:val="04315082"/>
    <w:rsid w:val="043B4E40"/>
    <w:rsid w:val="04514467"/>
    <w:rsid w:val="04C93FDF"/>
    <w:rsid w:val="04CD369A"/>
    <w:rsid w:val="05824FE9"/>
    <w:rsid w:val="05BD0F8C"/>
    <w:rsid w:val="05DC1C29"/>
    <w:rsid w:val="05DF083F"/>
    <w:rsid w:val="06696FE6"/>
    <w:rsid w:val="06B20D92"/>
    <w:rsid w:val="07300CC1"/>
    <w:rsid w:val="07494497"/>
    <w:rsid w:val="07647004"/>
    <w:rsid w:val="07DA0DA7"/>
    <w:rsid w:val="08366086"/>
    <w:rsid w:val="09946D4F"/>
    <w:rsid w:val="09E140A4"/>
    <w:rsid w:val="0A754714"/>
    <w:rsid w:val="0AE5637F"/>
    <w:rsid w:val="0B1C1FEC"/>
    <w:rsid w:val="0B3E6715"/>
    <w:rsid w:val="0B6856FB"/>
    <w:rsid w:val="0BA77F8D"/>
    <w:rsid w:val="0BCC2442"/>
    <w:rsid w:val="0D0134C2"/>
    <w:rsid w:val="0D375392"/>
    <w:rsid w:val="0D8E5BF6"/>
    <w:rsid w:val="0DB0659F"/>
    <w:rsid w:val="0DE359EC"/>
    <w:rsid w:val="0DFF3923"/>
    <w:rsid w:val="0E484FCF"/>
    <w:rsid w:val="0E71027E"/>
    <w:rsid w:val="0EA411EF"/>
    <w:rsid w:val="0F2421AD"/>
    <w:rsid w:val="0F28625E"/>
    <w:rsid w:val="0F52711B"/>
    <w:rsid w:val="0FCB23E0"/>
    <w:rsid w:val="0FE84160"/>
    <w:rsid w:val="106976FF"/>
    <w:rsid w:val="106F6ACD"/>
    <w:rsid w:val="108F2164"/>
    <w:rsid w:val="10A17A9F"/>
    <w:rsid w:val="10C55729"/>
    <w:rsid w:val="11535ACC"/>
    <w:rsid w:val="12885B6E"/>
    <w:rsid w:val="12BB3D58"/>
    <w:rsid w:val="13030CF4"/>
    <w:rsid w:val="13605270"/>
    <w:rsid w:val="139B6E7E"/>
    <w:rsid w:val="13CC2E13"/>
    <w:rsid w:val="13D84934"/>
    <w:rsid w:val="13EE580A"/>
    <w:rsid w:val="14377F7E"/>
    <w:rsid w:val="144C3926"/>
    <w:rsid w:val="14DE5D36"/>
    <w:rsid w:val="14E82A24"/>
    <w:rsid w:val="154E1C6F"/>
    <w:rsid w:val="156B1770"/>
    <w:rsid w:val="15BC2581"/>
    <w:rsid w:val="166E29B0"/>
    <w:rsid w:val="16E35BA2"/>
    <w:rsid w:val="17323BEC"/>
    <w:rsid w:val="17834BE3"/>
    <w:rsid w:val="17B12EF6"/>
    <w:rsid w:val="180E1F1B"/>
    <w:rsid w:val="18394C8E"/>
    <w:rsid w:val="1A516D0F"/>
    <w:rsid w:val="1A9535EC"/>
    <w:rsid w:val="1AB40516"/>
    <w:rsid w:val="1B3E187A"/>
    <w:rsid w:val="1BB034CF"/>
    <w:rsid w:val="1BC427A0"/>
    <w:rsid w:val="1C3D6936"/>
    <w:rsid w:val="1C896926"/>
    <w:rsid w:val="1D1A2D82"/>
    <w:rsid w:val="1D492665"/>
    <w:rsid w:val="1D543CA2"/>
    <w:rsid w:val="1DEA69D2"/>
    <w:rsid w:val="1DF119F7"/>
    <w:rsid w:val="1E3413DA"/>
    <w:rsid w:val="1EDB74A5"/>
    <w:rsid w:val="1EEB154D"/>
    <w:rsid w:val="1F2605FC"/>
    <w:rsid w:val="1FD02B61"/>
    <w:rsid w:val="201F0EBA"/>
    <w:rsid w:val="20604214"/>
    <w:rsid w:val="20B85ECE"/>
    <w:rsid w:val="215D6755"/>
    <w:rsid w:val="217E3CBD"/>
    <w:rsid w:val="21B35A0D"/>
    <w:rsid w:val="21E15705"/>
    <w:rsid w:val="22292CFA"/>
    <w:rsid w:val="234305D4"/>
    <w:rsid w:val="242410D2"/>
    <w:rsid w:val="2428583F"/>
    <w:rsid w:val="24486939"/>
    <w:rsid w:val="247C20DC"/>
    <w:rsid w:val="249F38B9"/>
    <w:rsid w:val="24C57CC0"/>
    <w:rsid w:val="252A75BB"/>
    <w:rsid w:val="253F5162"/>
    <w:rsid w:val="254F5F9B"/>
    <w:rsid w:val="25666979"/>
    <w:rsid w:val="25EF594E"/>
    <w:rsid w:val="260B08E0"/>
    <w:rsid w:val="26211720"/>
    <w:rsid w:val="26364E93"/>
    <w:rsid w:val="26A12640"/>
    <w:rsid w:val="26BE0E5C"/>
    <w:rsid w:val="27380561"/>
    <w:rsid w:val="27544916"/>
    <w:rsid w:val="278F0F3C"/>
    <w:rsid w:val="27A61086"/>
    <w:rsid w:val="28384FD2"/>
    <w:rsid w:val="286C21F9"/>
    <w:rsid w:val="290C7E79"/>
    <w:rsid w:val="291016C7"/>
    <w:rsid w:val="2959503A"/>
    <w:rsid w:val="2A6E2883"/>
    <w:rsid w:val="2AD4757D"/>
    <w:rsid w:val="2AE12CEA"/>
    <w:rsid w:val="2C041CCF"/>
    <w:rsid w:val="2C1224DA"/>
    <w:rsid w:val="2C3D25EA"/>
    <w:rsid w:val="2C5E7402"/>
    <w:rsid w:val="2C636FB9"/>
    <w:rsid w:val="2CBC7742"/>
    <w:rsid w:val="2CE2355B"/>
    <w:rsid w:val="2D1B6D15"/>
    <w:rsid w:val="2D6E67FF"/>
    <w:rsid w:val="2D834DCE"/>
    <w:rsid w:val="2E2C73BC"/>
    <w:rsid w:val="2E5F1B90"/>
    <w:rsid w:val="2EFC6D7A"/>
    <w:rsid w:val="2F6B67CC"/>
    <w:rsid w:val="2FC865E3"/>
    <w:rsid w:val="2FFA6E53"/>
    <w:rsid w:val="301E2C5F"/>
    <w:rsid w:val="30AC0E7B"/>
    <w:rsid w:val="30FE3C2C"/>
    <w:rsid w:val="312E3761"/>
    <w:rsid w:val="318B0A46"/>
    <w:rsid w:val="32532732"/>
    <w:rsid w:val="33511FA5"/>
    <w:rsid w:val="337F1070"/>
    <w:rsid w:val="33877A96"/>
    <w:rsid w:val="33880EB5"/>
    <w:rsid w:val="33FC4CD6"/>
    <w:rsid w:val="34085C1A"/>
    <w:rsid w:val="34CC6389"/>
    <w:rsid w:val="356358A1"/>
    <w:rsid w:val="358707F8"/>
    <w:rsid w:val="35A82285"/>
    <w:rsid w:val="36227E28"/>
    <w:rsid w:val="363C5122"/>
    <w:rsid w:val="37725DEE"/>
    <w:rsid w:val="377F4938"/>
    <w:rsid w:val="37874E5D"/>
    <w:rsid w:val="37B77E21"/>
    <w:rsid w:val="37BC4B0B"/>
    <w:rsid w:val="37FF6B9B"/>
    <w:rsid w:val="38237B22"/>
    <w:rsid w:val="38311183"/>
    <w:rsid w:val="3839282A"/>
    <w:rsid w:val="38C7347D"/>
    <w:rsid w:val="3906332D"/>
    <w:rsid w:val="393A68C1"/>
    <w:rsid w:val="395B1C8A"/>
    <w:rsid w:val="39A812C8"/>
    <w:rsid w:val="39F61311"/>
    <w:rsid w:val="3A1D2D24"/>
    <w:rsid w:val="3A413E63"/>
    <w:rsid w:val="3A760829"/>
    <w:rsid w:val="3A842B82"/>
    <w:rsid w:val="3A8A2BB1"/>
    <w:rsid w:val="3A923002"/>
    <w:rsid w:val="3A9919F0"/>
    <w:rsid w:val="3B070DAC"/>
    <w:rsid w:val="3B6E1D5C"/>
    <w:rsid w:val="3BA06CFD"/>
    <w:rsid w:val="3BAF1597"/>
    <w:rsid w:val="3BD171A7"/>
    <w:rsid w:val="3BD8084C"/>
    <w:rsid w:val="3BE06C1D"/>
    <w:rsid w:val="3BF23594"/>
    <w:rsid w:val="3C220A86"/>
    <w:rsid w:val="3C996B27"/>
    <w:rsid w:val="3CA56B60"/>
    <w:rsid w:val="3CDB262D"/>
    <w:rsid w:val="3CE02A8E"/>
    <w:rsid w:val="3D414234"/>
    <w:rsid w:val="3E091FD8"/>
    <w:rsid w:val="3E402B1D"/>
    <w:rsid w:val="3E4C7944"/>
    <w:rsid w:val="3E8E2E36"/>
    <w:rsid w:val="3EF85D6E"/>
    <w:rsid w:val="3EFF0792"/>
    <w:rsid w:val="3F3A4485"/>
    <w:rsid w:val="4036390E"/>
    <w:rsid w:val="40564A4B"/>
    <w:rsid w:val="407C18D9"/>
    <w:rsid w:val="40D3322E"/>
    <w:rsid w:val="413506AB"/>
    <w:rsid w:val="4277531E"/>
    <w:rsid w:val="432743CD"/>
    <w:rsid w:val="436514CC"/>
    <w:rsid w:val="44143FBD"/>
    <w:rsid w:val="44852717"/>
    <w:rsid w:val="449565B3"/>
    <w:rsid w:val="452A24F9"/>
    <w:rsid w:val="456663A4"/>
    <w:rsid w:val="47065C82"/>
    <w:rsid w:val="47CE32A2"/>
    <w:rsid w:val="47E55BFE"/>
    <w:rsid w:val="48065EFB"/>
    <w:rsid w:val="48A81118"/>
    <w:rsid w:val="491F19E7"/>
    <w:rsid w:val="497E36FF"/>
    <w:rsid w:val="49823E93"/>
    <w:rsid w:val="498D79FA"/>
    <w:rsid w:val="498E6D62"/>
    <w:rsid w:val="4A11723B"/>
    <w:rsid w:val="4A5A1A2D"/>
    <w:rsid w:val="4AD333A9"/>
    <w:rsid w:val="4B4F2FAF"/>
    <w:rsid w:val="4B5C63B6"/>
    <w:rsid w:val="4BA43CB2"/>
    <w:rsid w:val="4BA75C45"/>
    <w:rsid w:val="4C875D27"/>
    <w:rsid w:val="4CC91DFE"/>
    <w:rsid w:val="4E5A3401"/>
    <w:rsid w:val="4E6E0FBD"/>
    <w:rsid w:val="4F04054A"/>
    <w:rsid w:val="4F827E15"/>
    <w:rsid w:val="4FCE604D"/>
    <w:rsid w:val="50184117"/>
    <w:rsid w:val="50296E2F"/>
    <w:rsid w:val="50385F02"/>
    <w:rsid w:val="509C07AA"/>
    <w:rsid w:val="50DB72EB"/>
    <w:rsid w:val="510135C2"/>
    <w:rsid w:val="51394E9D"/>
    <w:rsid w:val="51494FCC"/>
    <w:rsid w:val="51713E82"/>
    <w:rsid w:val="518176E8"/>
    <w:rsid w:val="519D1867"/>
    <w:rsid w:val="520E2248"/>
    <w:rsid w:val="52B127DE"/>
    <w:rsid w:val="52B323D9"/>
    <w:rsid w:val="5306511F"/>
    <w:rsid w:val="53215BE1"/>
    <w:rsid w:val="54A5750D"/>
    <w:rsid w:val="55065B94"/>
    <w:rsid w:val="557D6E50"/>
    <w:rsid w:val="5586208E"/>
    <w:rsid w:val="55A75EC0"/>
    <w:rsid w:val="55CE590F"/>
    <w:rsid w:val="571F1EEA"/>
    <w:rsid w:val="57256E5D"/>
    <w:rsid w:val="5736607B"/>
    <w:rsid w:val="5764655F"/>
    <w:rsid w:val="57A576EC"/>
    <w:rsid w:val="5821769C"/>
    <w:rsid w:val="5838557C"/>
    <w:rsid w:val="58C26C10"/>
    <w:rsid w:val="58DF4506"/>
    <w:rsid w:val="58E160C0"/>
    <w:rsid w:val="5949059B"/>
    <w:rsid w:val="59AD4AD4"/>
    <w:rsid w:val="5A573AC4"/>
    <w:rsid w:val="5B1B2E17"/>
    <w:rsid w:val="5B596DC0"/>
    <w:rsid w:val="5B62599F"/>
    <w:rsid w:val="5B716BC1"/>
    <w:rsid w:val="5B8544A7"/>
    <w:rsid w:val="5BC4000B"/>
    <w:rsid w:val="5BF417C2"/>
    <w:rsid w:val="5C0C29F1"/>
    <w:rsid w:val="5C2A3852"/>
    <w:rsid w:val="5E9A037B"/>
    <w:rsid w:val="5ED8441D"/>
    <w:rsid w:val="5EDF2F19"/>
    <w:rsid w:val="5F6D4136"/>
    <w:rsid w:val="5FAF3E92"/>
    <w:rsid w:val="60183FC2"/>
    <w:rsid w:val="60217510"/>
    <w:rsid w:val="604763DA"/>
    <w:rsid w:val="60DB563B"/>
    <w:rsid w:val="61251DFC"/>
    <w:rsid w:val="61B96A9C"/>
    <w:rsid w:val="61C0384D"/>
    <w:rsid w:val="61E64613"/>
    <w:rsid w:val="62484E8E"/>
    <w:rsid w:val="6281528C"/>
    <w:rsid w:val="62DC3BCB"/>
    <w:rsid w:val="632C604F"/>
    <w:rsid w:val="633320AC"/>
    <w:rsid w:val="635E3CD5"/>
    <w:rsid w:val="6368510D"/>
    <w:rsid w:val="638E71C4"/>
    <w:rsid w:val="63B55317"/>
    <w:rsid w:val="64261625"/>
    <w:rsid w:val="64321CED"/>
    <w:rsid w:val="64402B1D"/>
    <w:rsid w:val="64530C6C"/>
    <w:rsid w:val="652F5A83"/>
    <w:rsid w:val="65627924"/>
    <w:rsid w:val="65A04D0F"/>
    <w:rsid w:val="65B22E22"/>
    <w:rsid w:val="669D3CC1"/>
    <w:rsid w:val="674A1A46"/>
    <w:rsid w:val="67751447"/>
    <w:rsid w:val="677C2399"/>
    <w:rsid w:val="67941CCC"/>
    <w:rsid w:val="690F51BF"/>
    <w:rsid w:val="69250FF0"/>
    <w:rsid w:val="692B5239"/>
    <w:rsid w:val="697435BE"/>
    <w:rsid w:val="698C0B95"/>
    <w:rsid w:val="69E46676"/>
    <w:rsid w:val="6A182B34"/>
    <w:rsid w:val="6A8F2D3E"/>
    <w:rsid w:val="6B051234"/>
    <w:rsid w:val="6B056EF9"/>
    <w:rsid w:val="6B32704A"/>
    <w:rsid w:val="6BA0149B"/>
    <w:rsid w:val="6BC75C88"/>
    <w:rsid w:val="6C0C0859"/>
    <w:rsid w:val="6C481240"/>
    <w:rsid w:val="6D144348"/>
    <w:rsid w:val="6DE851B9"/>
    <w:rsid w:val="6E030A74"/>
    <w:rsid w:val="6EA30F7F"/>
    <w:rsid w:val="6FAB1F3F"/>
    <w:rsid w:val="6FF53865"/>
    <w:rsid w:val="70317086"/>
    <w:rsid w:val="70686AA3"/>
    <w:rsid w:val="70724F97"/>
    <w:rsid w:val="70816BDB"/>
    <w:rsid w:val="708B03EE"/>
    <w:rsid w:val="70C701F6"/>
    <w:rsid w:val="715218C7"/>
    <w:rsid w:val="72A758C4"/>
    <w:rsid w:val="72FD5D65"/>
    <w:rsid w:val="73011B50"/>
    <w:rsid w:val="73211A73"/>
    <w:rsid w:val="735A60FC"/>
    <w:rsid w:val="737964CF"/>
    <w:rsid w:val="73840AA0"/>
    <w:rsid w:val="73B712E4"/>
    <w:rsid w:val="74452D19"/>
    <w:rsid w:val="745B04BE"/>
    <w:rsid w:val="74B457A5"/>
    <w:rsid w:val="74F15D26"/>
    <w:rsid w:val="75713C6F"/>
    <w:rsid w:val="75FF4946"/>
    <w:rsid w:val="764204E6"/>
    <w:rsid w:val="76454BFD"/>
    <w:rsid w:val="7665440E"/>
    <w:rsid w:val="76946063"/>
    <w:rsid w:val="76A525D7"/>
    <w:rsid w:val="77D7228D"/>
    <w:rsid w:val="77E7274B"/>
    <w:rsid w:val="77F515F9"/>
    <w:rsid w:val="780552FC"/>
    <w:rsid w:val="78534CBB"/>
    <w:rsid w:val="78A1792D"/>
    <w:rsid w:val="78B4342F"/>
    <w:rsid w:val="794720A6"/>
    <w:rsid w:val="79B26026"/>
    <w:rsid w:val="79F453C2"/>
    <w:rsid w:val="7A053BBD"/>
    <w:rsid w:val="7ACB3ACF"/>
    <w:rsid w:val="7AD862D1"/>
    <w:rsid w:val="7ADC775C"/>
    <w:rsid w:val="7BE77C10"/>
    <w:rsid w:val="7BFB6026"/>
    <w:rsid w:val="7C7809A1"/>
    <w:rsid w:val="7CF65E75"/>
    <w:rsid w:val="7DA12347"/>
    <w:rsid w:val="7DF82F72"/>
    <w:rsid w:val="7E222BE7"/>
    <w:rsid w:val="7E5E6AD1"/>
    <w:rsid w:val="7F2C2EF4"/>
    <w:rsid w:val="7F5A0C46"/>
    <w:rsid w:val="7FA66A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qFormat="1"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5"/>
    <w:basedOn w:val="1"/>
    <w:next w:val="1"/>
    <w:unhideWhenUsed/>
    <w:qFormat/>
    <w:uiPriority w:val="9"/>
    <w:pPr>
      <w:keepNext/>
      <w:keepLines/>
      <w:spacing w:before="280" w:after="290" w:line="376" w:lineRule="auto"/>
      <w:outlineLvl w:val="4"/>
    </w:pPr>
    <w:rPr>
      <w:b/>
      <w:bCs/>
      <w:sz w:val="28"/>
      <w:szCs w:val="28"/>
    </w:rPr>
  </w:style>
  <w:style w:type="character" w:default="1" w:styleId="10">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semiHidden/>
    <w:unhideWhenUsed/>
    <w:uiPriority w:val="99"/>
    <w:pPr>
      <w:jc w:val="left"/>
    </w:pPr>
  </w:style>
  <w:style w:type="paragraph" w:styleId="6">
    <w:name w:val="Balloon Text"/>
    <w:basedOn w:val="1"/>
    <w:link w:val="25"/>
    <w:unhideWhenUsed/>
    <w:qFormat/>
    <w:uiPriority w:val="99"/>
    <w:rPr>
      <w:sz w:val="18"/>
      <w:szCs w:val="18"/>
    </w:rPr>
  </w:style>
  <w:style w:type="paragraph" w:styleId="7">
    <w:name w:val="footer"/>
    <w:basedOn w:val="1"/>
    <w:link w:val="24"/>
    <w:unhideWhenUsed/>
    <w:qFormat/>
    <w:uiPriority w:val="99"/>
    <w:pPr>
      <w:tabs>
        <w:tab w:val="center" w:pos="4153"/>
        <w:tab w:val="right" w:pos="8306"/>
      </w:tabs>
      <w:snapToGrid w:val="0"/>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FollowedHyperlink"/>
    <w:basedOn w:val="10"/>
    <w:unhideWhenUsed/>
    <w:qFormat/>
    <w:uiPriority w:val="99"/>
    <w:rPr>
      <w:color w:val="333333"/>
      <w:u w:val="none"/>
    </w:rPr>
  </w:style>
  <w:style w:type="character" w:styleId="13">
    <w:name w:val="Emphasis"/>
    <w:basedOn w:val="10"/>
    <w:qFormat/>
    <w:uiPriority w:val="20"/>
  </w:style>
  <w:style w:type="character" w:styleId="14">
    <w:name w:val="Hyperlink"/>
    <w:basedOn w:val="10"/>
    <w:unhideWhenUsed/>
    <w:qFormat/>
    <w:uiPriority w:val="99"/>
    <w:rPr>
      <w:color w:val="0000FF"/>
      <w:u w:val="single"/>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17">
    <w:name w:val="Light Shading Accent 1"/>
    <w:basedOn w:val="15"/>
    <w:qFormat/>
    <w:uiPriority w:val="60"/>
    <w:rPr>
      <w:color w:val="5B5C5F" w:themeColor="accent1" w:themeShade="BF"/>
    </w:rPr>
    <w:tblPr>
      <w:tblBorders>
        <w:top w:val="single" w:color="797B7E" w:themeColor="accent1" w:sz="8" w:space="0"/>
        <w:bottom w:val="single" w:color="797B7E" w:themeColor="accent1"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797B7E" w:themeColor="accent1" w:sz="8" w:space="0"/>
          <w:left w:val="nil"/>
          <w:bottom w:val="single" w:color="797B7E" w:themeColor="accent1" w:sz="8" w:space="0"/>
          <w:right w:val="nil"/>
          <w:insideH w:val="nil"/>
          <w:insideV w:val="nil"/>
        </w:tcBorders>
      </w:tcPr>
    </w:tblStylePr>
    <w:tblStylePr w:type="lastRow">
      <w:pPr>
        <w:spacing w:before="0" w:after="0" w:line="240" w:lineRule="auto"/>
      </w:pPr>
      <w:rPr>
        <w:b/>
        <w:bCs/>
      </w:rPr>
      <w:tblPr>
        <w:tblLayout w:type="fixed"/>
      </w:tblPr>
      <w:tcPr>
        <w:tcBorders>
          <w:top w:val="single" w:color="797B7E" w:themeColor="accent1" w:sz="8" w:space="0"/>
          <w:left w:val="nil"/>
          <w:bottom w:val="single" w:color="797B7E" w:themeColor="accent1"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DDEDF" w:themeFill="accent1" w:themeFillTint="3F"/>
      </w:tcPr>
    </w:tblStylePr>
    <w:tblStylePr w:type="band1Horz">
      <w:tblPr>
        <w:tblLayout w:type="fixed"/>
      </w:tblPr>
      <w:tcPr>
        <w:tcBorders>
          <w:left w:val="nil"/>
          <w:right w:val="nil"/>
          <w:insideH w:val="nil"/>
          <w:insideV w:val="nil"/>
        </w:tcBorders>
        <w:shd w:val="clear" w:color="auto" w:fill="DDDEDF" w:themeFill="accent1" w:themeFillTint="3F"/>
      </w:tcPr>
    </w:tblStylePr>
  </w:style>
  <w:style w:type="table" w:styleId="18">
    <w:name w:val="Light Shading Accent 3"/>
    <w:basedOn w:val="15"/>
    <w:qFormat/>
    <w:uiPriority w:val="60"/>
    <w:rPr>
      <w:color w:val="0679A3" w:themeColor="accent3" w:themeShade="BF"/>
    </w:rPr>
    <w:tblPr>
      <w:tblBorders>
        <w:top w:val="single" w:color="08A1D9" w:themeColor="accent3" w:sz="8" w:space="0"/>
        <w:bottom w:val="single" w:color="08A1D9" w:themeColor="accent3"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08A1D9" w:themeColor="accent3" w:sz="8" w:space="0"/>
          <w:left w:val="nil"/>
          <w:bottom w:val="single" w:color="08A1D9" w:themeColor="accent3" w:sz="8" w:space="0"/>
          <w:right w:val="nil"/>
          <w:insideH w:val="nil"/>
          <w:insideV w:val="nil"/>
        </w:tcBorders>
      </w:tcPr>
    </w:tblStylePr>
    <w:tblStylePr w:type="lastRow">
      <w:pPr>
        <w:spacing w:before="0" w:after="0" w:line="240" w:lineRule="auto"/>
      </w:pPr>
      <w:rPr>
        <w:b/>
        <w:bCs/>
      </w:rPr>
      <w:tblPr>
        <w:tblLayout w:type="fixed"/>
      </w:tblPr>
      <w:tcPr>
        <w:tcBorders>
          <w:top w:val="single" w:color="08A1D9" w:themeColor="accent3" w:sz="8" w:space="0"/>
          <w:left w:val="nil"/>
          <w:bottom w:val="single" w:color="08A1D9" w:themeColor="accent3"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BBEAFC" w:themeFill="accent3" w:themeFillTint="3F"/>
      </w:tcPr>
    </w:tblStylePr>
    <w:tblStylePr w:type="band1Horz">
      <w:tblPr>
        <w:tblLayout w:type="fixed"/>
      </w:tblPr>
      <w:tcPr>
        <w:tcBorders>
          <w:left w:val="nil"/>
          <w:right w:val="nil"/>
          <w:insideH w:val="nil"/>
          <w:insideV w:val="nil"/>
        </w:tcBorders>
        <w:shd w:val="clear" w:color="auto" w:fill="BBEAFC" w:themeFill="accent3" w:themeFillTint="3F"/>
      </w:tcPr>
    </w:tblStylePr>
  </w:style>
  <w:style w:type="table" w:styleId="19">
    <w:name w:val="Light List Accent 1"/>
    <w:basedOn w:val="15"/>
    <w:qFormat/>
    <w:uiPriority w:val="61"/>
    <w:tblPr>
      <w:tblBorders>
        <w:top w:val="single" w:color="797B7E" w:themeColor="accent1" w:sz="8" w:space="0"/>
        <w:left w:val="single" w:color="797B7E" w:themeColor="accent1" w:sz="8" w:space="0"/>
        <w:bottom w:val="single" w:color="797B7E" w:themeColor="accent1" w:sz="8" w:space="0"/>
        <w:right w:val="single" w:color="797B7E" w:themeColor="accent1"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797B7E" w:themeFill="accent1"/>
      </w:tcPr>
    </w:tblStylePr>
    <w:tblStylePr w:type="lastRow">
      <w:pPr>
        <w:spacing w:before="0" w:after="0" w:line="240" w:lineRule="auto"/>
      </w:pPr>
      <w:rPr>
        <w:b/>
        <w:bCs/>
      </w:rPr>
      <w:tblPr>
        <w:tblLayout w:type="fixed"/>
      </w:tblPr>
      <w:tcPr>
        <w:tcBorders>
          <w:top w:val="double" w:color="797B7E" w:themeColor="accent1" w:sz="6" w:space="0"/>
          <w:left w:val="single" w:color="797B7E" w:themeColor="accent1" w:sz="8" w:space="0"/>
          <w:bottom w:val="single" w:color="797B7E" w:themeColor="accent1" w:sz="8" w:space="0"/>
          <w:right w:val="single" w:color="797B7E" w:themeColor="accent1" w:sz="8" w:space="0"/>
        </w:tcBorders>
      </w:tcPr>
    </w:tblStylePr>
    <w:tblStylePr w:type="firstCol">
      <w:rPr>
        <w:b/>
        <w:bCs/>
      </w:rPr>
    </w:tblStylePr>
    <w:tblStylePr w:type="lastCol">
      <w:rPr>
        <w:b/>
        <w:bCs/>
      </w:rPr>
    </w:tblStylePr>
    <w:tblStylePr w:type="band1Vert">
      <w:tblPr>
        <w:tblLayout w:type="fixed"/>
      </w:tblPr>
      <w:tcPr>
        <w:tcBorders>
          <w:top w:val="single" w:color="797B7E" w:themeColor="accent1" w:sz="8" w:space="0"/>
          <w:left w:val="single" w:color="797B7E" w:themeColor="accent1" w:sz="8" w:space="0"/>
          <w:bottom w:val="single" w:color="797B7E" w:themeColor="accent1" w:sz="8" w:space="0"/>
          <w:right w:val="single" w:color="797B7E" w:themeColor="accent1" w:sz="8" w:space="0"/>
        </w:tcBorders>
      </w:tcPr>
    </w:tblStylePr>
    <w:tblStylePr w:type="band1Horz">
      <w:tblPr>
        <w:tblLayout w:type="fixed"/>
      </w:tblPr>
      <w:tcPr>
        <w:tcBorders>
          <w:top w:val="single" w:color="797B7E" w:themeColor="accent1" w:sz="8" w:space="0"/>
          <w:left w:val="single" w:color="797B7E" w:themeColor="accent1" w:sz="8" w:space="0"/>
          <w:bottom w:val="single" w:color="797B7E" w:themeColor="accent1" w:sz="8" w:space="0"/>
          <w:right w:val="single" w:color="797B7E" w:themeColor="accent1" w:sz="8" w:space="0"/>
        </w:tcBorders>
      </w:tcPr>
    </w:tblStylePr>
  </w:style>
  <w:style w:type="table" w:styleId="20">
    <w:name w:val="Light List Accent 6"/>
    <w:basedOn w:val="15"/>
    <w:qFormat/>
    <w:uiPriority w:val="61"/>
    <w:tblPr>
      <w:tblBorders>
        <w:top w:val="single" w:color="506E94" w:themeColor="accent6" w:sz="8" w:space="0"/>
        <w:left w:val="single" w:color="506E94" w:themeColor="accent6" w:sz="8" w:space="0"/>
        <w:bottom w:val="single" w:color="506E94" w:themeColor="accent6" w:sz="8" w:space="0"/>
        <w:right w:val="single" w:color="506E94" w:themeColor="accent6"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506E94" w:themeFill="accent6"/>
      </w:tcPr>
    </w:tblStylePr>
    <w:tblStylePr w:type="lastRow">
      <w:pPr>
        <w:spacing w:before="0" w:after="0" w:line="240" w:lineRule="auto"/>
      </w:pPr>
      <w:rPr>
        <w:b/>
        <w:bCs/>
      </w:rPr>
      <w:tblPr>
        <w:tblLayout w:type="fixed"/>
      </w:tblPr>
      <w:tcPr>
        <w:tcBorders>
          <w:top w:val="double" w:color="506E94" w:themeColor="accent6" w:sz="6" w:space="0"/>
          <w:left w:val="single" w:color="506E94" w:themeColor="accent6" w:sz="8" w:space="0"/>
          <w:bottom w:val="single" w:color="506E94" w:themeColor="accent6" w:sz="8" w:space="0"/>
          <w:right w:val="single" w:color="506E94" w:themeColor="accent6" w:sz="8" w:space="0"/>
        </w:tcBorders>
      </w:tcPr>
    </w:tblStylePr>
    <w:tblStylePr w:type="firstCol">
      <w:rPr>
        <w:b/>
        <w:bCs/>
      </w:rPr>
    </w:tblStylePr>
    <w:tblStylePr w:type="lastCol">
      <w:rPr>
        <w:b/>
        <w:bCs/>
      </w:rPr>
    </w:tblStylePr>
    <w:tblStylePr w:type="band1Vert">
      <w:tblPr>
        <w:tblLayout w:type="fixed"/>
      </w:tblPr>
      <w:tcPr>
        <w:tcBorders>
          <w:top w:val="single" w:color="506E94" w:themeColor="accent6" w:sz="8" w:space="0"/>
          <w:left w:val="single" w:color="506E94" w:themeColor="accent6" w:sz="8" w:space="0"/>
          <w:bottom w:val="single" w:color="506E94" w:themeColor="accent6" w:sz="8" w:space="0"/>
          <w:right w:val="single" w:color="506E94" w:themeColor="accent6" w:sz="8" w:space="0"/>
        </w:tcBorders>
      </w:tcPr>
    </w:tblStylePr>
    <w:tblStylePr w:type="band1Horz">
      <w:tblPr>
        <w:tblLayout w:type="fixed"/>
      </w:tblPr>
      <w:tcPr>
        <w:tcBorders>
          <w:top w:val="single" w:color="506E94" w:themeColor="accent6" w:sz="8" w:space="0"/>
          <w:left w:val="single" w:color="506E94" w:themeColor="accent6" w:sz="8" w:space="0"/>
          <w:bottom w:val="single" w:color="506E94" w:themeColor="accent6" w:sz="8" w:space="0"/>
          <w:right w:val="single" w:color="506E94" w:themeColor="accent6" w:sz="8" w:space="0"/>
        </w:tcBorders>
      </w:tcPr>
    </w:tblStylePr>
  </w:style>
  <w:style w:type="table" w:styleId="21">
    <w:name w:val="Light Grid"/>
    <w:basedOn w:val="15"/>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22">
    <w:name w:val="Light Grid Accent 1"/>
    <w:basedOn w:val="15"/>
    <w:qFormat/>
    <w:uiPriority w:val="62"/>
    <w:tblPr>
      <w:tblBorders>
        <w:top w:val="single" w:color="797B7E" w:themeColor="accent1" w:sz="8" w:space="0"/>
        <w:left w:val="single" w:color="797B7E" w:themeColor="accent1" w:sz="8" w:space="0"/>
        <w:bottom w:val="single" w:color="797B7E" w:themeColor="accent1" w:sz="8" w:space="0"/>
        <w:right w:val="single" w:color="797B7E" w:themeColor="accent1" w:sz="8" w:space="0"/>
        <w:insideH w:val="single" w:color="797B7E" w:themeColor="accent1" w:sz="8" w:space="0"/>
        <w:insideV w:val="single" w:color="797B7E" w:themeColor="accent1"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797B7E" w:themeColor="accent1" w:sz="8" w:space="0"/>
          <w:left w:val="single" w:color="797B7E" w:themeColor="accent1" w:sz="8" w:space="0"/>
          <w:bottom w:val="single" w:color="797B7E" w:themeColor="accent1" w:sz="18" w:space="0"/>
          <w:right w:val="single" w:color="797B7E"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797B7E" w:themeColor="accent1" w:sz="6" w:space="0"/>
          <w:left w:val="single" w:color="797B7E" w:themeColor="accent1" w:sz="8" w:space="0"/>
          <w:bottom w:val="single" w:color="797B7E" w:themeColor="accent1" w:sz="8" w:space="0"/>
          <w:right w:val="single" w:color="797B7E"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797B7E" w:themeColor="accent1" w:sz="8" w:space="0"/>
          <w:left w:val="single" w:color="797B7E" w:themeColor="accent1" w:sz="8" w:space="0"/>
          <w:bottom w:val="single" w:color="797B7E" w:themeColor="accent1" w:sz="8" w:space="0"/>
          <w:right w:val="single" w:color="797B7E" w:themeColor="accent1" w:sz="8" w:space="0"/>
        </w:tcBorders>
      </w:tcPr>
    </w:tblStylePr>
    <w:tblStylePr w:type="band1Vert">
      <w:tblPr>
        <w:tblLayout w:type="fixed"/>
      </w:tblPr>
      <w:tcPr>
        <w:tcBorders>
          <w:top w:val="single" w:color="797B7E" w:themeColor="accent1" w:sz="8" w:space="0"/>
          <w:left w:val="single" w:color="797B7E" w:themeColor="accent1" w:sz="8" w:space="0"/>
          <w:bottom w:val="single" w:color="797B7E" w:themeColor="accent1" w:sz="8" w:space="0"/>
          <w:right w:val="single" w:color="797B7E" w:themeColor="accent1" w:sz="8" w:space="0"/>
        </w:tcBorders>
        <w:shd w:val="clear" w:color="auto" w:fill="DDDEDF" w:themeFill="accent1" w:themeFillTint="3F"/>
      </w:tcPr>
    </w:tblStylePr>
    <w:tblStylePr w:type="band1Horz">
      <w:tblPr>
        <w:tblLayout w:type="fixed"/>
      </w:tblPr>
      <w:tcPr>
        <w:tcBorders>
          <w:top w:val="single" w:color="797B7E" w:themeColor="accent1" w:sz="8" w:space="0"/>
          <w:left w:val="single" w:color="797B7E" w:themeColor="accent1" w:sz="8" w:space="0"/>
          <w:bottom w:val="single" w:color="797B7E" w:themeColor="accent1" w:sz="8" w:space="0"/>
          <w:right w:val="single" w:color="797B7E" w:themeColor="accent1" w:sz="8" w:space="0"/>
          <w:insideV w:val="single" w:sz="8" w:space="0"/>
        </w:tcBorders>
        <w:shd w:val="clear" w:color="auto" w:fill="DDDEDF" w:themeFill="accent1" w:themeFillTint="3F"/>
      </w:tcPr>
    </w:tblStylePr>
    <w:tblStylePr w:type="band2Horz">
      <w:tblPr>
        <w:tblLayout w:type="fixed"/>
      </w:tblPr>
      <w:tcPr>
        <w:tcBorders>
          <w:top w:val="single" w:color="797B7E" w:themeColor="accent1" w:sz="8" w:space="0"/>
          <w:left w:val="single" w:color="797B7E" w:themeColor="accent1" w:sz="8" w:space="0"/>
          <w:bottom w:val="single" w:color="797B7E" w:themeColor="accent1" w:sz="8" w:space="0"/>
          <w:right w:val="single" w:color="797B7E" w:themeColor="accent1" w:sz="8" w:space="0"/>
          <w:insideV w:val="single" w:sz="8" w:space="0"/>
        </w:tcBorders>
      </w:tcPr>
    </w:tblStylePr>
  </w:style>
  <w:style w:type="character" w:customStyle="1" w:styleId="23">
    <w:name w:val="页眉 Char"/>
    <w:basedOn w:val="10"/>
    <w:link w:val="8"/>
    <w:qFormat/>
    <w:uiPriority w:val="99"/>
    <w:rPr>
      <w:sz w:val="18"/>
      <w:szCs w:val="18"/>
    </w:rPr>
  </w:style>
  <w:style w:type="character" w:customStyle="1" w:styleId="24">
    <w:name w:val="页脚 Char"/>
    <w:basedOn w:val="10"/>
    <w:link w:val="7"/>
    <w:qFormat/>
    <w:uiPriority w:val="99"/>
    <w:rPr>
      <w:sz w:val="18"/>
      <w:szCs w:val="18"/>
    </w:rPr>
  </w:style>
  <w:style w:type="character" w:customStyle="1" w:styleId="25">
    <w:name w:val="批注框文本 Char"/>
    <w:basedOn w:val="10"/>
    <w:link w:val="6"/>
    <w:semiHidden/>
    <w:qFormat/>
    <w:uiPriority w:val="99"/>
    <w:rPr>
      <w:sz w:val="18"/>
      <w:szCs w:val="18"/>
    </w:rPr>
  </w:style>
  <w:style w:type="character" w:customStyle="1" w:styleId="26">
    <w:name w:val="占位符文本1"/>
    <w:basedOn w:val="10"/>
    <w:semiHidden/>
    <w:qFormat/>
    <w:uiPriority w:val="99"/>
    <w:rPr>
      <w:color w:val="808080"/>
    </w:rPr>
  </w:style>
  <w:style w:type="paragraph" w:customStyle="1" w:styleId="27">
    <w:name w:val="列出段落1"/>
    <w:basedOn w:val="1"/>
    <w:qFormat/>
    <w:uiPriority w:val="34"/>
    <w:pPr>
      <w:ind w:firstLine="420" w:firstLineChars="200"/>
    </w:pPr>
    <w:rPr>
      <w:rFonts w:ascii="Times New Roman" w:hAnsi="Times New Roman" w:eastAsia="宋体" w:cs="Times New Roman"/>
      <w:szCs w:val="24"/>
    </w:rPr>
  </w:style>
  <w:style w:type="character" w:customStyle="1" w:styleId="28">
    <w:name w:val="报告类型"/>
    <w:basedOn w:val="10"/>
    <w:qFormat/>
    <w:uiPriority w:val="1"/>
    <w:rPr>
      <w:rFonts w:eastAsia="华文楷体"/>
      <w:color w:val="auto"/>
      <w:sz w:val="28"/>
    </w:rPr>
  </w:style>
  <w:style w:type="character" w:customStyle="1" w:styleId="29">
    <w:name w:val="标题 1 Char"/>
    <w:basedOn w:val="10"/>
    <w:link w:val="2"/>
    <w:qFormat/>
    <w:uiPriority w:val="9"/>
    <w:rPr>
      <w:b/>
      <w:bCs/>
      <w:kern w:val="44"/>
      <w:sz w:val="44"/>
      <w:szCs w:val="44"/>
    </w:rPr>
  </w:style>
  <w:style w:type="character" w:customStyle="1" w:styleId="30">
    <w:name w:val="underline"/>
    <w:basedOn w:val="10"/>
    <w:qFormat/>
    <w:uiPriority w:val="0"/>
  </w:style>
  <w:style w:type="paragraph" w:styleId="31">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glossaryDocument" Target="glossary/document.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34.jpeg"/><Relationship Id="rId4" Type="http://schemas.microsoft.com/office/2011/relationships/commentsExtended" Target="commentsExtended.xml"/><Relationship Id="rId39" Type="http://schemas.openxmlformats.org/officeDocument/2006/relationships/image" Target="media/image33.emf"/><Relationship Id="rId38" Type="http://schemas.openxmlformats.org/officeDocument/2006/relationships/image" Target="media/image32.emf"/><Relationship Id="rId37" Type="http://schemas.openxmlformats.org/officeDocument/2006/relationships/image" Target="media/image31.emf"/><Relationship Id="rId36" Type="http://schemas.openxmlformats.org/officeDocument/2006/relationships/image" Target="media/image30.emf"/><Relationship Id="rId35" Type="http://schemas.openxmlformats.org/officeDocument/2006/relationships/image" Target="media/image29.emf"/><Relationship Id="rId34" Type="http://schemas.openxmlformats.org/officeDocument/2006/relationships/image" Target="media/image28.emf"/><Relationship Id="rId33" Type="http://schemas.openxmlformats.org/officeDocument/2006/relationships/image" Target="media/image27.emf"/><Relationship Id="rId32" Type="http://schemas.openxmlformats.org/officeDocument/2006/relationships/image" Target="media/image26.emf"/><Relationship Id="rId31" Type="http://schemas.openxmlformats.org/officeDocument/2006/relationships/image" Target="media/image25.emf"/><Relationship Id="rId30" Type="http://schemas.openxmlformats.org/officeDocument/2006/relationships/image" Target="media/image24.emf"/><Relationship Id="rId3" Type="http://schemas.openxmlformats.org/officeDocument/2006/relationships/comments" Target="comments.xml"/><Relationship Id="rId29" Type="http://schemas.openxmlformats.org/officeDocument/2006/relationships/image" Target="media/image23.emf"/><Relationship Id="rId28" Type="http://schemas.openxmlformats.org/officeDocument/2006/relationships/image" Target="media/image22.emf"/><Relationship Id="rId27" Type="http://schemas.openxmlformats.org/officeDocument/2006/relationships/image" Target="media/image21.emf"/><Relationship Id="rId26" Type="http://schemas.openxmlformats.org/officeDocument/2006/relationships/image" Target="media/image20.emf"/><Relationship Id="rId25" Type="http://schemas.openxmlformats.org/officeDocument/2006/relationships/image" Target="media/image19.emf"/><Relationship Id="rId24" Type="http://schemas.openxmlformats.org/officeDocument/2006/relationships/image" Target="media/image18.emf"/><Relationship Id="rId23" Type="http://schemas.openxmlformats.org/officeDocument/2006/relationships/image" Target="media/image17.emf"/><Relationship Id="rId22" Type="http://schemas.openxmlformats.org/officeDocument/2006/relationships/image" Target="media/image16.emf"/><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082065160"/>
        <w:style w:val=""/>
        <w:category>
          <w:name w:val="常规"/>
          <w:gallery w:val="placeholder"/>
        </w:category>
        <w:types>
          <w:type w:val="bbPlcHdr"/>
        </w:types>
        <w:behaviors>
          <w:behavior w:val="content"/>
        </w:behaviors>
        <w:description w:val=""/>
        <w:guid w:val="{DC03C014-068E-4DD6-B4EE-9FE37AA9819C}"/>
      </w:docPartPr>
      <w:docPartBody>
        <w:p>
          <w:r>
            <w:rPr>
              <w:rStyle w:val="4"/>
              <w:rFonts w:hint="eastAsia"/>
            </w:rPr>
            <w:t>单击此处输入日期。</w:t>
          </w:r>
        </w:p>
      </w:docPartBody>
    </w:docPart>
    <w:docPart>
      <w:docPartPr>
        <w:name w:val="A263D1E7E3F6406F9518DA54926FB656"/>
        <w:style w:val=""/>
        <w:category>
          <w:name w:val="常规"/>
          <w:gallery w:val="placeholder"/>
        </w:category>
        <w:types>
          <w:type w:val="bbPlcHdr"/>
        </w:types>
        <w:behaviors>
          <w:behavior w:val="content"/>
        </w:behaviors>
        <w:description w:val=""/>
        <w:guid w:val="{A6507992-363C-4ACD-AC20-3A9AE0253CEF}"/>
      </w:docPartPr>
      <w:docPartBody>
        <w:p>
          <w:pPr>
            <w:pStyle w:val="14"/>
          </w:pPr>
          <w:r>
            <w:rPr>
              <w:rStyle w:val="4"/>
              <w:rFonts w:hint="eastAsia"/>
            </w:rPr>
            <w:t>[标题]</w:t>
          </w:r>
        </w:p>
      </w:docPartBody>
    </w:docPart>
    <w:docPart>
      <w:docPartPr>
        <w:name w:val="6291E4604806466D8AB4A80AD4DE7A0D"/>
        <w:style w:val=""/>
        <w:category>
          <w:name w:val="常规"/>
          <w:gallery w:val="placeholder"/>
        </w:category>
        <w:types>
          <w:type w:val="bbPlcHdr"/>
        </w:types>
        <w:behaviors>
          <w:behavior w:val="content"/>
        </w:behaviors>
        <w:description w:val=""/>
        <w:guid w:val="{74B678EC-96DE-42BF-9A3B-69C63A92DA02}"/>
      </w:docPartPr>
      <w:docPartBody>
        <w:p>
          <w:pPr>
            <w:pStyle w:val="22"/>
          </w:pPr>
          <w:r>
            <w:rPr>
              <w:rStyle w:val="4"/>
              <w:rFonts w:hint="eastAsia"/>
            </w:rPr>
            <w:t>[标题]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ranklin Gothic Book">
    <w:panose1 w:val="020B0503020102020204"/>
    <w:charset w:val="00"/>
    <w:family w:val="auto"/>
    <w:pitch w:val="default"/>
    <w:sig w:usb0="00000287" w:usb1="00000000" w:usb2="00000000" w:usb3="00000000" w:csb0="2000009F" w:csb1="DFD70000"/>
  </w:font>
  <w:font w:name="隶书">
    <w:panose1 w:val="02010509060101010101"/>
    <w:charset w:val="86"/>
    <w:family w:val="auto"/>
    <w:pitch w:val="default"/>
    <w:sig w:usb0="00000001" w:usb1="080E0000" w:usb2="0000000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03"/>
    <w:rsid w:val="0000665D"/>
    <w:rsid w:val="00024A95"/>
    <w:rsid w:val="00036C2B"/>
    <w:rsid w:val="000374AC"/>
    <w:rsid w:val="00046F0B"/>
    <w:rsid w:val="000704D6"/>
    <w:rsid w:val="0008069E"/>
    <w:rsid w:val="000B0A1E"/>
    <w:rsid w:val="000D6439"/>
    <w:rsid w:val="000F0EA9"/>
    <w:rsid w:val="00120818"/>
    <w:rsid w:val="00130BF5"/>
    <w:rsid w:val="001514D3"/>
    <w:rsid w:val="00156A6B"/>
    <w:rsid w:val="001628E6"/>
    <w:rsid w:val="0016617F"/>
    <w:rsid w:val="001C39E9"/>
    <w:rsid w:val="001D2C0F"/>
    <w:rsid w:val="001D7DA4"/>
    <w:rsid w:val="001F573E"/>
    <w:rsid w:val="001F74A5"/>
    <w:rsid w:val="00211DC7"/>
    <w:rsid w:val="00257693"/>
    <w:rsid w:val="00276EC2"/>
    <w:rsid w:val="002A3441"/>
    <w:rsid w:val="002C26C4"/>
    <w:rsid w:val="002D3A22"/>
    <w:rsid w:val="002F3477"/>
    <w:rsid w:val="00311F3B"/>
    <w:rsid w:val="00314C5C"/>
    <w:rsid w:val="00317E1D"/>
    <w:rsid w:val="00331D9A"/>
    <w:rsid w:val="00360CC2"/>
    <w:rsid w:val="003A5605"/>
    <w:rsid w:val="003E4309"/>
    <w:rsid w:val="003E6D28"/>
    <w:rsid w:val="003F1531"/>
    <w:rsid w:val="0047386F"/>
    <w:rsid w:val="004841CE"/>
    <w:rsid w:val="00484A32"/>
    <w:rsid w:val="00497A77"/>
    <w:rsid w:val="004A7169"/>
    <w:rsid w:val="004B527C"/>
    <w:rsid w:val="004B7144"/>
    <w:rsid w:val="004F1134"/>
    <w:rsid w:val="004F387C"/>
    <w:rsid w:val="004F40A8"/>
    <w:rsid w:val="004F428F"/>
    <w:rsid w:val="00503E60"/>
    <w:rsid w:val="005061CD"/>
    <w:rsid w:val="00513B45"/>
    <w:rsid w:val="0052329F"/>
    <w:rsid w:val="005241A8"/>
    <w:rsid w:val="0055475D"/>
    <w:rsid w:val="00561C77"/>
    <w:rsid w:val="00570DEB"/>
    <w:rsid w:val="00590C8B"/>
    <w:rsid w:val="005B4F41"/>
    <w:rsid w:val="005F01F3"/>
    <w:rsid w:val="005F7303"/>
    <w:rsid w:val="0060187F"/>
    <w:rsid w:val="00603F57"/>
    <w:rsid w:val="00632802"/>
    <w:rsid w:val="0063687C"/>
    <w:rsid w:val="006376D2"/>
    <w:rsid w:val="00640C9C"/>
    <w:rsid w:val="0066253C"/>
    <w:rsid w:val="00686D1F"/>
    <w:rsid w:val="00692EC0"/>
    <w:rsid w:val="006A0FF8"/>
    <w:rsid w:val="006A2774"/>
    <w:rsid w:val="006A29EE"/>
    <w:rsid w:val="006B415F"/>
    <w:rsid w:val="006B6C04"/>
    <w:rsid w:val="006E0918"/>
    <w:rsid w:val="007020F8"/>
    <w:rsid w:val="007060A5"/>
    <w:rsid w:val="00710C4A"/>
    <w:rsid w:val="00742B74"/>
    <w:rsid w:val="00747947"/>
    <w:rsid w:val="007522A9"/>
    <w:rsid w:val="007673FD"/>
    <w:rsid w:val="00774F4F"/>
    <w:rsid w:val="007C6807"/>
    <w:rsid w:val="00811254"/>
    <w:rsid w:val="00842F34"/>
    <w:rsid w:val="008535E2"/>
    <w:rsid w:val="008C6B68"/>
    <w:rsid w:val="008E65E5"/>
    <w:rsid w:val="008E6F0F"/>
    <w:rsid w:val="00922F1E"/>
    <w:rsid w:val="00942B0C"/>
    <w:rsid w:val="00951A33"/>
    <w:rsid w:val="00952C76"/>
    <w:rsid w:val="00961517"/>
    <w:rsid w:val="00966C28"/>
    <w:rsid w:val="009778AC"/>
    <w:rsid w:val="009C0364"/>
    <w:rsid w:val="009E713C"/>
    <w:rsid w:val="009F7BF3"/>
    <w:rsid w:val="00A03538"/>
    <w:rsid w:val="00A373DC"/>
    <w:rsid w:val="00A402B0"/>
    <w:rsid w:val="00A42C73"/>
    <w:rsid w:val="00A70BEC"/>
    <w:rsid w:val="00A727C5"/>
    <w:rsid w:val="00AC5DD0"/>
    <w:rsid w:val="00AC6A71"/>
    <w:rsid w:val="00B0738E"/>
    <w:rsid w:val="00B15681"/>
    <w:rsid w:val="00B21534"/>
    <w:rsid w:val="00B336C4"/>
    <w:rsid w:val="00B4495B"/>
    <w:rsid w:val="00B60B2E"/>
    <w:rsid w:val="00B77B4D"/>
    <w:rsid w:val="00BA1558"/>
    <w:rsid w:val="00BD375F"/>
    <w:rsid w:val="00BF0408"/>
    <w:rsid w:val="00C11B90"/>
    <w:rsid w:val="00C14C39"/>
    <w:rsid w:val="00C16D55"/>
    <w:rsid w:val="00C27DE9"/>
    <w:rsid w:val="00C52D2A"/>
    <w:rsid w:val="00C54DBC"/>
    <w:rsid w:val="00C703BE"/>
    <w:rsid w:val="00C76B9D"/>
    <w:rsid w:val="00C9045D"/>
    <w:rsid w:val="00C952CD"/>
    <w:rsid w:val="00D112C6"/>
    <w:rsid w:val="00D400D5"/>
    <w:rsid w:val="00D62006"/>
    <w:rsid w:val="00D93119"/>
    <w:rsid w:val="00DE4E41"/>
    <w:rsid w:val="00DF7EF6"/>
    <w:rsid w:val="00E10888"/>
    <w:rsid w:val="00E20560"/>
    <w:rsid w:val="00E22791"/>
    <w:rsid w:val="00E35D55"/>
    <w:rsid w:val="00E47BAA"/>
    <w:rsid w:val="00E559A9"/>
    <w:rsid w:val="00E63FE1"/>
    <w:rsid w:val="00E80227"/>
    <w:rsid w:val="00E91DF0"/>
    <w:rsid w:val="00EA3C1E"/>
    <w:rsid w:val="00EA42FF"/>
    <w:rsid w:val="00EB5399"/>
    <w:rsid w:val="00EC096C"/>
    <w:rsid w:val="00EC639B"/>
    <w:rsid w:val="00ED44C4"/>
    <w:rsid w:val="00EF076F"/>
    <w:rsid w:val="00EF7C43"/>
    <w:rsid w:val="00F132B2"/>
    <w:rsid w:val="00F20C9A"/>
    <w:rsid w:val="00F62234"/>
    <w:rsid w:val="00F71123"/>
    <w:rsid w:val="00FC1B78"/>
    <w:rsid w:val="00FD09ED"/>
    <w:rsid w:val="00FE20F6"/>
    <w:rsid w:val="00FF6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character" w:customStyle="1" w:styleId="4">
    <w:name w:val="占位符文本1"/>
    <w:basedOn w:val="2"/>
    <w:semiHidden/>
    <w:qFormat/>
    <w:uiPriority w:val="99"/>
    <w:rPr>
      <w:color w:val="808080"/>
    </w:rPr>
  </w:style>
  <w:style w:type="paragraph" w:customStyle="1" w:styleId="5">
    <w:name w:val="5E1354B3FF374318800A2FBBAFE1C8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0E05F76C870843FE8D2493EE3881D3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02ED54A6315D4F988458DEAC85FF37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0CC01E4018B646BB8BF5768859FE4B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EE606E9C447E4E0EA7951208E83450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DA749320660942B2923D2B11473DD049"/>
    <w:qFormat/>
    <w:uiPriority w:val="0"/>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lang w:val="en-US" w:eastAsia="zh-CN" w:bidi="ar-SA"/>
    </w:rPr>
  </w:style>
  <w:style w:type="paragraph" w:customStyle="1" w:styleId="11">
    <w:name w:val="0E54BDBB94844473B5F35A09CB6658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0F332BE4DA0043CBAEF8648C27E58D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7A654A92DC2940249AC388B823DA92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A263D1E7E3F6406F9518DA54926FB6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3B84B01438A347BE9083AE1CCA9499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93D12AA35C9F472F9F175C7B336EDA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D38DA4DCB4C9482DA1E9159CEC18AC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C95C758A91B04423861574294838FB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F4D69A1C7A984E7F80279A0A381B60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CAEE453532914C8FB271A3E1F8E805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2CF975157C6A4EAA8771A86BF21AD7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6291E4604806466D8AB4A80AD4DE7A0D"/>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角度">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978970-6984-4E35-B359-2FF68B1085A4}">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Pages>
  <Words>1405</Words>
  <Characters>1533</Characters>
  <Lines>19</Lines>
  <Paragraphs>5</Paragraphs>
  <TotalTime>28</TotalTime>
  <ScaleCrop>false</ScaleCrop>
  <LinksUpToDate>false</LinksUpToDate>
  <CharactersWithSpaces>1540</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2018-05-30T06:11:00Z</dcterms:created>
  <dc:creator>晨晨</dc:creator>
  <cp:lastModifiedBy>AMANALORI</cp:lastModifiedBy>
  <cp:lastPrinted>2018-05-31T08:03:00Z</cp:lastPrinted>
  <dcterms:modified xsi:type="dcterms:W3CDTF">2023-12-13T09:08:26Z</dcterms:modified>
  <dc:title>市场周报</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1888956535F54236B931B6A7EBAC4F89_12</vt:lpwstr>
  </property>
</Properties>
</file>